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385AA" w14:textId="77777777" w:rsidR="000A71F8" w:rsidRPr="000A71F8" w:rsidRDefault="00B92684" w:rsidP="000A71F8">
      <w:pPr>
        <w:spacing w:line="256" w:lineRule="auto"/>
        <w:rPr>
          <w:rFonts w:ascii="Arial" w:eastAsia="Times New Roman" w:hAnsi="Arial" w:cs="Times New Roman"/>
          <w:b/>
          <w:bCs/>
          <w:color w:val="3C6683"/>
        </w:rPr>
      </w:pPr>
      <w:r>
        <w:rPr>
          <w:rFonts w:ascii="Arial" w:eastAsia="Times New Roman" w:hAnsi="Arial" w:cs="Times New Roman"/>
          <w:b/>
          <w:bCs/>
          <w:color w:val="3C6683"/>
        </w:rPr>
        <w:t>JOB DESCRIPTION</w:t>
      </w:r>
    </w:p>
    <w:tbl>
      <w:tblPr>
        <w:tblStyle w:val="TableGrid"/>
        <w:tblpPr w:leftFromText="180" w:rightFromText="180" w:vertAnchor="text" w:horzAnchor="margin" w:tblpY="222"/>
        <w:tblW w:w="0" w:type="auto"/>
        <w:tblInd w:w="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7088"/>
      </w:tblGrid>
      <w:tr w:rsidR="000A71F8" w:rsidRPr="000A71F8" w14:paraId="5FA9A7EB" w14:textId="77777777" w:rsidTr="006822B2">
        <w:trPr>
          <w:trHeight w:val="264"/>
        </w:trPr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B9B3"/>
            <w:hideMark/>
          </w:tcPr>
          <w:p w14:paraId="090B9C6F" w14:textId="77777777" w:rsidR="000A71F8" w:rsidRPr="000A71F8" w:rsidRDefault="000A71F8" w:rsidP="00E06D3E">
            <w:pPr>
              <w:spacing w:after="60"/>
              <w:rPr>
                <w:b/>
                <w:bCs/>
                <w:color w:val="FFFFFF"/>
              </w:rPr>
            </w:pPr>
            <w:r w:rsidRPr="000A71F8">
              <w:rPr>
                <w:b/>
                <w:bCs/>
                <w:color w:val="FFFFFF"/>
              </w:rPr>
              <w:t>Title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7D015A" w14:textId="0E796FFC" w:rsidR="000A71F8" w:rsidRPr="000A71F8" w:rsidRDefault="003A7EF4" w:rsidP="00E06D3E">
            <w:pPr>
              <w:spacing w:after="60"/>
              <w:rPr>
                <w:b/>
                <w:bCs/>
                <w:color w:val="3C6683"/>
              </w:rPr>
            </w:pPr>
            <w:r w:rsidRPr="000200AB">
              <w:rPr>
                <w:b/>
                <w:bCs/>
                <w:color w:val="3C6683"/>
              </w:rPr>
              <w:t>Investment Risk</w:t>
            </w:r>
            <w:r w:rsidR="00754AE6">
              <w:rPr>
                <w:b/>
                <w:bCs/>
                <w:color w:val="3C6683"/>
              </w:rPr>
              <w:t xml:space="preserve"> Manager</w:t>
            </w:r>
          </w:p>
        </w:tc>
      </w:tr>
      <w:tr w:rsidR="0000144C" w:rsidRPr="000A71F8" w14:paraId="2F7735D9" w14:textId="77777777" w:rsidTr="006822B2">
        <w:trPr>
          <w:trHeight w:val="264"/>
        </w:trPr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B9B3"/>
          </w:tcPr>
          <w:p w14:paraId="0A9BD47E" w14:textId="77777777" w:rsidR="0000144C" w:rsidRPr="000A71F8" w:rsidRDefault="0000144C" w:rsidP="00E06D3E">
            <w:pPr>
              <w:spacing w:after="6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Reports to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338B64" w14:textId="53A348C3" w:rsidR="0000144C" w:rsidRPr="000A71F8" w:rsidRDefault="003A7EF4" w:rsidP="00E06D3E">
            <w:pPr>
              <w:spacing w:after="60"/>
              <w:rPr>
                <w:b/>
                <w:bCs/>
                <w:color w:val="3C6683"/>
              </w:rPr>
            </w:pPr>
            <w:r>
              <w:rPr>
                <w:b/>
                <w:bCs/>
                <w:color w:val="3C6683"/>
              </w:rPr>
              <w:t>Chief Risk Officer</w:t>
            </w:r>
          </w:p>
        </w:tc>
      </w:tr>
      <w:tr w:rsidR="000A71F8" w:rsidRPr="000A71F8" w14:paraId="51E188AF" w14:textId="77777777" w:rsidTr="006822B2">
        <w:trPr>
          <w:trHeight w:val="248"/>
        </w:trPr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B9B3"/>
            <w:hideMark/>
          </w:tcPr>
          <w:p w14:paraId="0B599A5B" w14:textId="77777777" w:rsidR="000A71F8" w:rsidRPr="000A71F8" w:rsidRDefault="000A71F8" w:rsidP="00E06D3E">
            <w:pPr>
              <w:spacing w:after="60"/>
              <w:rPr>
                <w:b/>
                <w:bCs/>
                <w:color w:val="FFFFFF"/>
              </w:rPr>
            </w:pPr>
            <w:r w:rsidRPr="000A71F8">
              <w:rPr>
                <w:b/>
                <w:bCs/>
                <w:color w:val="FFFFFF"/>
              </w:rPr>
              <w:t>Department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834458" w14:textId="73731F59" w:rsidR="000A71F8" w:rsidRPr="00826AFF" w:rsidRDefault="001D0A01" w:rsidP="00E06D3E">
            <w:pPr>
              <w:spacing w:after="60"/>
              <w:rPr>
                <w:b/>
                <w:bCs/>
                <w:color w:val="3C6683"/>
              </w:rPr>
            </w:pPr>
            <w:r>
              <w:rPr>
                <w:b/>
                <w:bCs/>
                <w:color w:val="3C6683"/>
              </w:rPr>
              <w:t>Risk</w:t>
            </w:r>
          </w:p>
        </w:tc>
      </w:tr>
      <w:tr w:rsidR="000A71F8" w:rsidRPr="000A71F8" w14:paraId="4F2288E2" w14:textId="77777777" w:rsidTr="006822B2">
        <w:trPr>
          <w:trHeight w:val="248"/>
        </w:trPr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B9B3"/>
            <w:hideMark/>
          </w:tcPr>
          <w:p w14:paraId="54457B90" w14:textId="77777777" w:rsidR="000A71F8" w:rsidRPr="000A71F8" w:rsidRDefault="0000144C" w:rsidP="00E06D3E">
            <w:pPr>
              <w:spacing w:after="6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Location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A222ED" w14:textId="1FFD3314" w:rsidR="000A71F8" w:rsidRPr="00826AFF" w:rsidRDefault="00583AC0" w:rsidP="00E06D3E">
            <w:pPr>
              <w:spacing w:after="60"/>
              <w:rPr>
                <w:b/>
                <w:bCs/>
                <w:color w:val="3C6683"/>
              </w:rPr>
            </w:pPr>
            <w:r w:rsidRPr="00826AFF">
              <w:rPr>
                <w:b/>
                <w:bCs/>
                <w:color w:val="3C6683"/>
              </w:rPr>
              <w:t>Based at the London Office (hybrid working model)</w:t>
            </w:r>
          </w:p>
        </w:tc>
      </w:tr>
    </w:tbl>
    <w:p w14:paraId="7AEA1513" w14:textId="77777777" w:rsidR="000A71F8" w:rsidRPr="000A71F8" w:rsidRDefault="000A71F8" w:rsidP="000A71F8">
      <w:pPr>
        <w:spacing w:line="256" w:lineRule="auto"/>
        <w:rPr>
          <w:rFonts w:ascii="Arial" w:eastAsia="Times New Roman" w:hAnsi="Arial" w:cs="Times New Roman"/>
          <w:b/>
          <w:bCs/>
          <w:color w:val="3C6683"/>
        </w:rPr>
      </w:pPr>
    </w:p>
    <w:p w14:paraId="013764FB" w14:textId="77777777" w:rsidR="00DC4F3E" w:rsidRDefault="00DC4F3E" w:rsidP="00DC4F3E">
      <w:pPr>
        <w:spacing w:line="256" w:lineRule="auto"/>
        <w:rPr>
          <w:rFonts w:ascii="Arial" w:eastAsia="Times New Roman" w:hAnsi="Arial" w:cs="Times New Roman"/>
          <w:b/>
          <w:bCs/>
          <w:color w:val="3C6683"/>
        </w:rPr>
      </w:pPr>
      <w:r w:rsidRPr="00DC4F3E">
        <w:rPr>
          <w:rFonts w:ascii="Arial" w:eastAsia="Times New Roman" w:hAnsi="Arial" w:cs="Times New Roman"/>
          <w:b/>
          <w:bCs/>
          <w:color w:val="3C6683"/>
        </w:rPr>
        <w:t>Main purpose of the role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826AFF" w:rsidRPr="00826AFF" w14:paraId="7DA16B41" w14:textId="77777777" w:rsidTr="00F27D78">
        <w:tc>
          <w:tcPr>
            <w:tcW w:w="9016" w:type="dxa"/>
            <w:tcBorders>
              <w:left w:val="single" w:sz="4" w:space="0" w:color="auto"/>
              <w:right w:val="single" w:sz="4" w:space="0" w:color="auto"/>
            </w:tcBorders>
          </w:tcPr>
          <w:p w14:paraId="1A467DB8" w14:textId="5E4A491C" w:rsidR="00DA2F4E" w:rsidRDefault="00DA2F4E" w:rsidP="001D0A01">
            <w:pPr>
              <w:spacing w:after="120" w:line="257" w:lineRule="auto"/>
              <w:jc w:val="both"/>
              <w:rPr>
                <w:rFonts w:cs="Arial"/>
                <w:color w:val="3D6684"/>
              </w:rPr>
            </w:pPr>
            <w:r w:rsidRPr="00DA2F4E">
              <w:rPr>
                <w:rFonts w:cs="Arial"/>
                <w:color w:val="3D6684"/>
              </w:rPr>
              <w:t xml:space="preserve">Lead the development of GIB’s </w:t>
            </w:r>
            <w:r w:rsidR="003777B8">
              <w:rPr>
                <w:rFonts w:cs="Arial"/>
                <w:color w:val="3D6684"/>
              </w:rPr>
              <w:t>i</w:t>
            </w:r>
            <w:r w:rsidRPr="00DA2F4E">
              <w:rPr>
                <w:rFonts w:cs="Arial"/>
                <w:color w:val="3D6684"/>
              </w:rPr>
              <w:t xml:space="preserve">nvestment </w:t>
            </w:r>
            <w:r w:rsidR="003777B8">
              <w:rPr>
                <w:rFonts w:cs="Arial"/>
                <w:color w:val="3D6684"/>
              </w:rPr>
              <w:t>r</w:t>
            </w:r>
            <w:r w:rsidRPr="00DA2F4E">
              <w:rPr>
                <w:rFonts w:cs="Arial"/>
                <w:color w:val="3D6684"/>
              </w:rPr>
              <w:t>isk framework, ensuring risks are proactively identified, assessed, and managed.</w:t>
            </w:r>
          </w:p>
          <w:p w14:paraId="460C9DA9" w14:textId="6E2311C7" w:rsidR="00DA2F4E" w:rsidRDefault="00DA2F4E" w:rsidP="001D0A01">
            <w:pPr>
              <w:spacing w:after="120" w:line="257" w:lineRule="auto"/>
              <w:jc w:val="both"/>
              <w:rPr>
                <w:rFonts w:cs="Arial"/>
                <w:color w:val="3D6684"/>
              </w:rPr>
            </w:pPr>
            <w:r w:rsidRPr="00DA2F4E">
              <w:rPr>
                <w:rFonts w:cs="Arial"/>
                <w:color w:val="3D6684"/>
              </w:rPr>
              <w:t xml:space="preserve">Manage a team of analysts, balancing strategic </w:t>
            </w:r>
            <w:r>
              <w:rPr>
                <w:rFonts w:cs="Arial"/>
                <w:color w:val="3D6684"/>
              </w:rPr>
              <w:t>direction</w:t>
            </w:r>
            <w:r w:rsidRPr="00DA2F4E">
              <w:rPr>
                <w:rFonts w:cs="Arial"/>
                <w:color w:val="3D6684"/>
              </w:rPr>
              <w:t xml:space="preserve"> with hands-on </w:t>
            </w:r>
            <w:r>
              <w:rPr>
                <w:rFonts w:cs="Arial"/>
                <w:color w:val="3D6684"/>
              </w:rPr>
              <w:t>execution</w:t>
            </w:r>
            <w:r w:rsidRPr="00DA2F4E">
              <w:rPr>
                <w:rFonts w:cs="Arial"/>
                <w:color w:val="3D6684"/>
              </w:rPr>
              <w:t xml:space="preserve"> to build a best-in-class, reliable investment risk function.</w:t>
            </w:r>
          </w:p>
          <w:p w14:paraId="17A0B7AC" w14:textId="21E53871" w:rsidR="00DA2F4E" w:rsidRDefault="00DA2F4E" w:rsidP="001D0A01">
            <w:pPr>
              <w:spacing w:after="120" w:line="257" w:lineRule="auto"/>
              <w:jc w:val="both"/>
              <w:rPr>
                <w:rFonts w:cs="Arial"/>
                <w:color w:val="3D6684"/>
              </w:rPr>
            </w:pPr>
            <w:r>
              <w:rPr>
                <w:rFonts w:cs="Arial"/>
                <w:color w:val="3D6684"/>
              </w:rPr>
              <w:t>Proactively engage with stakeholders and d</w:t>
            </w:r>
            <w:r w:rsidRPr="00DA2F4E">
              <w:rPr>
                <w:rFonts w:cs="Arial"/>
                <w:color w:val="3D6684"/>
              </w:rPr>
              <w:t>rive continuous improvement of risk methodologies, models, and controls</w:t>
            </w:r>
            <w:r>
              <w:rPr>
                <w:rFonts w:cs="Arial"/>
                <w:color w:val="3D6684"/>
              </w:rPr>
              <w:t>, supporting</w:t>
            </w:r>
            <w:r w:rsidRPr="00DA2F4E">
              <w:rPr>
                <w:rFonts w:cs="Arial"/>
                <w:color w:val="3D6684"/>
              </w:rPr>
              <w:t xml:space="preserve"> growth</w:t>
            </w:r>
            <w:r>
              <w:rPr>
                <w:rFonts w:cs="Arial"/>
                <w:color w:val="3D6684"/>
              </w:rPr>
              <w:t xml:space="preserve"> while effectively managing risks.</w:t>
            </w:r>
          </w:p>
          <w:p w14:paraId="42CE4106" w14:textId="0D3EF382" w:rsidR="003777B8" w:rsidRPr="00AE2B1F" w:rsidRDefault="00DA2F4E" w:rsidP="00AE2B1F">
            <w:pPr>
              <w:spacing w:after="120" w:line="257" w:lineRule="auto"/>
              <w:jc w:val="both"/>
              <w:rPr>
                <w:rFonts w:cs="Arial"/>
                <w:color w:val="3D6684"/>
              </w:rPr>
            </w:pPr>
            <w:r w:rsidRPr="00DA2F4E">
              <w:rPr>
                <w:rFonts w:cs="Arial"/>
                <w:color w:val="3D6684"/>
              </w:rPr>
              <w:t>Promote a culture of risk awareness, ensure regulatory compliance, and position the function as a trusted advisor.</w:t>
            </w:r>
          </w:p>
        </w:tc>
      </w:tr>
    </w:tbl>
    <w:p w14:paraId="349C8D62" w14:textId="77777777" w:rsidR="00365459" w:rsidRPr="00DC4F3E" w:rsidRDefault="00365459" w:rsidP="00DC4F3E">
      <w:pPr>
        <w:spacing w:line="256" w:lineRule="auto"/>
        <w:rPr>
          <w:b/>
          <w:bCs/>
          <w:color w:val="3C6683"/>
        </w:rPr>
      </w:pPr>
    </w:p>
    <w:p w14:paraId="74E8AA50" w14:textId="77777777" w:rsidR="00DC4F3E" w:rsidRDefault="00DC4F3E" w:rsidP="00DC4F3E">
      <w:pPr>
        <w:spacing w:line="256" w:lineRule="auto"/>
        <w:rPr>
          <w:b/>
          <w:bCs/>
          <w:color w:val="3C6683"/>
        </w:rPr>
      </w:pPr>
      <w:r w:rsidRPr="000A71F8">
        <w:rPr>
          <w:rFonts w:ascii="Arial" w:eastAsia="Times New Roman" w:hAnsi="Arial" w:cs="Times New Roman"/>
          <w:b/>
          <w:bCs/>
          <w:color w:val="3C6683"/>
        </w:rPr>
        <w:t xml:space="preserve">Key </w:t>
      </w:r>
      <w:r w:rsidR="00117E21">
        <w:rPr>
          <w:rFonts w:ascii="Arial" w:eastAsia="Times New Roman" w:hAnsi="Arial" w:cs="Times New Roman"/>
          <w:b/>
          <w:bCs/>
          <w:color w:val="3C6683"/>
        </w:rPr>
        <w:t xml:space="preserve">duties and </w:t>
      </w:r>
      <w:r w:rsidRPr="000A71F8">
        <w:rPr>
          <w:rFonts w:ascii="Arial" w:eastAsia="Times New Roman" w:hAnsi="Arial" w:cs="Times New Roman"/>
          <w:b/>
          <w:bCs/>
          <w:color w:val="3C6683"/>
        </w:rPr>
        <w:t>responsibilities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826AFF" w:rsidRPr="00826AFF" w14:paraId="1310B346" w14:textId="77777777" w:rsidTr="00F27D78">
        <w:tc>
          <w:tcPr>
            <w:tcW w:w="9016" w:type="dxa"/>
            <w:tcBorders>
              <w:left w:val="single" w:sz="4" w:space="0" w:color="auto"/>
              <w:right w:val="single" w:sz="4" w:space="0" w:color="auto"/>
            </w:tcBorders>
          </w:tcPr>
          <w:p w14:paraId="6BBD15E5" w14:textId="4566C08E" w:rsidR="00D32A00" w:rsidRPr="00942C17" w:rsidRDefault="00A03370" w:rsidP="00942C17">
            <w:pPr>
              <w:pStyle w:val="ListParagraph"/>
              <w:numPr>
                <w:ilvl w:val="0"/>
                <w:numId w:val="2"/>
              </w:numPr>
              <w:spacing w:after="60" w:line="257" w:lineRule="auto"/>
              <w:contextualSpacing w:val="0"/>
              <w:jc w:val="both"/>
              <w:rPr>
                <w:rFonts w:cs="Arial"/>
                <w:color w:val="3D6684"/>
              </w:rPr>
            </w:pPr>
            <w:r w:rsidRPr="00942C17">
              <w:rPr>
                <w:rFonts w:cs="Arial"/>
                <w:color w:val="3D6684"/>
              </w:rPr>
              <w:t>Ensure all</w:t>
            </w:r>
            <w:r w:rsidR="00E7227F" w:rsidRPr="00942C17">
              <w:rPr>
                <w:rFonts w:cs="Arial"/>
                <w:color w:val="3D6684"/>
              </w:rPr>
              <w:t xml:space="preserve"> investment risk</w:t>
            </w:r>
            <w:r w:rsidR="00687E57" w:rsidRPr="00942C17">
              <w:rPr>
                <w:rFonts w:cs="Arial"/>
                <w:color w:val="3D6684"/>
              </w:rPr>
              <w:t>s</w:t>
            </w:r>
            <w:r w:rsidR="00E7227F" w:rsidRPr="00942C17">
              <w:rPr>
                <w:rFonts w:cs="Arial"/>
                <w:color w:val="3D6684"/>
              </w:rPr>
              <w:t xml:space="preserve"> </w:t>
            </w:r>
            <w:r w:rsidR="007509AE" w:rsidRPr="00942C17">
              <w:rPr>
                <w:rFonts w:cs="Arial"/>
                <w:color w:val="3D6684"/>
              </w:rPr>
              <w:t xml:space="preserve">are </w:t>
            </w:r>
            <w:r w:rsidR="00F84770" w:rsidRPr="00942C17">
              <w:rPr>
                <w:rFonts w:cs="Arial"/>
                <w:color w:val="3D6684"/>
              </w:rPr>
              <w:t xml:space="preserve">always adequately </w:t>
            </w:r>
            <w:r w:rsidR="007509AE" w:rsidRPr="00942C17">
              <w:rPr>
                <w:rFonts w:cs="Arial"/>
                <w:color w:val="3D6684"/>
              </w:rPr>
              <w:t xml:space="preserve">monitored and reported </w:t>
            </w:r>
            <w:r w:rsidR="00E7227F" w:rsidRPr="00942C17">
              <w:rPr>
                <w:rFonts w:cs="Arial"/>
                <w:color w:val="3D6684"/>
              </w:rPr>
              <w:t>across all strategies</w:t>
            </w:r>
            <w:r w:rsidR="009B1565" w:rsidRPr="00942C17">
              <w:rPr>
                <w:rFonts w:cs="Arial"/>
                <w:color w:val="3D6684"/>
              </w:rPr>
              <w:t xml:space="preserve"> (e.g. liquidity, volatility</w:t>
            </w:r>
            <w:r w:rsidR="00BA19A5" w:rsidRPr="00942C17">
              <w:rPr>
                <w:rFonts w:cs="Arial"/>
                <w:color w:val="3D6684"/>
              </w:rPr>
              <w:t>,</w:t>
            </w:r>
            <w:r w:rsidR="000C3887" w:rsidRPr="00942C17">
              <w:rPr>
                <w:rFonts w:cs="Arial"/>
                <w:color w:val="3D6684"/>
              </w:rPr>
              <w:t xml:space="preserve"> factor exposures,</w:t>
            </w:r>
            <w:r w:rsidR="009B1565" w:rsidRPr="00942C17">
              <w:rPr>
                <w:rFonts w:cs="Arial"/>
                <w:color w:val="3D6684"/>
              </w:rPr>
              <w:t xml:space="preserve"> rates </w:t>
            </w:r>
            <w:r w:rsidR="000C3887" w:rsidRPr="00942C17">
              <w:rPr>
                <w:rFonts w:cs="Arial"/>
                <w:color w:val="3D6684"/>
              </w:rPr>
              <w:t>or</w:t>
            </w:r>
            <w:r w:rsidR="009B1565" w:rsidRPr="00942C17">
              <w:rPr>
                <w:rFonts w:cs="Arial"/>
                <w:color w:val="3D6684"/>
              </w:rPr>
              <w:t xml:space="preserve"> credit sensitivities).</w:t>
            </w:r>
          </w:p>
          <w:p w14:paraId="3E2A5427" w14:textId="644974EA" w:rsidR="00611B23" w:rsidRPr="00942C17" w:rsidRDefault="00D32A00" w:rsidP="00942C17">
            <w:pPr>
              <w:pStyle w:val="ListParagraph"/>
              <w:numPr>
                <w:ilvl w:val="0"/>
                <w:numId w:val="2"/>
              </w:numPr>
              <w:spacing w:after="60" w:line="257" w:lineRule="auto"/>
              <w:contextualSpacing w:val="0"/>
              <w:jc w:val="both"/>
              <w:rPr>
                <w:rFonts w:cs="Arial"/>
                <w:color w:val="3D6684"/>
              </w:rPr>
            </w:pPr>
            <w:r w:rsidRPr="00942C17">
              <w:rPr>
                <w:rFonts w:cs="Arial"/>
                <w:color w:val="3D6684"/>
              </w:rPr>
              <w:t>Ensure portfolios remain aligned with their investment risk profiles.</w:t>
            </w:r>
            <w:r w:rsidR="00B5363B" w:rsidRPr="00942C17">
              <w:rPr>
                <w:rFonts w:cs="Arial"/>
                <w:color w:val="3D6684"/>
              </w:rPr>
              <w:t xml:space="preserve"> </w:t>
            </w:r>
            <w:r w:rsidR="009B1565" w:rsidRPr="00942C17">
              <w:rPr>
                <w:rFonts w:cs="Arial"/>
                <w:color w:val="3D6684"/>
              </w:rPr>
              <w:t>I</w:t>
            </w:r>
            <w:r w:rsidR="00611B23" w:rsidRPr="00942C17">
              <w:rPr>
                <w:rFonts w:cs="Arial"/>
                <w:color w:val="3D6684"/>
              </w:rPr>
              <w:t>nvestigat</w:t>
            </w:r>
            <w:r w:rsidR="009B1565" w:rsidRPr="00942C17">
              <w:rPr>
                <w:rFonts w:cs="Arial"/>
                <w:color w:val="3D6684"/>
              </w:rPr>
              <w:t>e</w:t>
            </w:r>
            <w:r w:rsidR="00611B23" w:rsidRPr="00942C17">
              <w:rPr>
                <w:rFonts w:cs="Arial"/>
                <w:color w:val="3D6684"/>
              </w:rPr>
              <w:t xml:space="preserve"> </w:t>
            </w:r>
            <w:r w:rsidR="000925CA" w:rsidRPr="00942C17">
              <w:rPr>
                <w:rFonts w:cs="Arial"/>
                <w:color w:val="3D6684"/>
              </w:rPr>
              <w:t>exceptions</w:t>
            </w:r>
            <w:r w:rsidR="007509AE" w:rsidRPr="00942C17">
              <w:rPr>
                <w:rFonts w:cs="Arial"/>
                <w:color w:val="3D6684"/>
              </w:rPr>
              <w:t xml:space="preserve"> and signals, escalate where required</w:t>
            </w:r>
            <w:r w:rsidR="000925CA" w:rsidRPr="00942C17">
              <w:rPr>
                <w:rFonts w:cs="Arial"/>
                <w:color w:val="3D6684"/>
              </w:rPr>
              <w:t xml:space="preserve"> </w:t>
            </w:r>
            <w:r w:rsidR="009B1565" w:rsidRPr="00942C17">
              <w:rPr>
                <w:rFonts w:cs="Arial"/>
                <w:color w:val="3D6684"/>
              </w:rPr>
              <w:t xml:space="preserve">and follow-up </w:t>
            </w:r>
            <w:r w:rsidR="00293CCF" w:rsidRPr="00942C17">
              <w:rPr>
                <w:rFonts w:cs="Arial"/>
                <w:color w:val="3D6684"/>
              </w:rPr>
              <w:t>until</w:t>
            </w:r>
            <w:r w:rsidR="009B1565" w:rsidRPr="00942C17">
              <w:rPr>
                <w:rFonts w:cs="Arial"/>
                <w:color w:val="3D6684"/>
              </w:rPr>
              <w:t xml:space="preserve"> resolution.</w:t>
            </w:r>
          </w:p>
          <w:p w14:paraId="5437FE22" w14:textId="5D25FAB4" w:rsidR="007130E1" w:rsidRPr="00942C17" w:rsidRDefault="00F84770" w:rsidP="00942C17">
            <w:pPr>
              <w:pStyle w:val="ListParagraph"/>
              <w:numPr>
                <w:ilvl w:val="0"/>
                <w:numId w:val="2"/>
              </w:numPr>
              <w:spacing w:after="60" w:line="257" w:lineRule="auto"/>
              <w:contextualSpacing w:val="0"/>
              <w:jc w:val="both"/>
              <w:rPr>
                <w:rFonts w:cs="Arial"/>
                <w:color w:val="3D6684"/>
              </w:rPr>
            </w:pPr>
            <w:r w:rsidRPr="00942C17">
              <w:rPr>
                <w:rFonts w:cs="Arial"/>
                <w:color w:val="3D6684"/>
              </w:rPr>
              <w:t>Build strong</w:t>
            </w:r>
            <w:r w:rsidR="0094404F" w:rsidRPr="00942C17">
              <w:rPr>
                <w:rFonts w:cs="Arial"/>
                <w:color w:val="3D6684"/>
              </w:rPr>
              <w:t xml:space="preserve"> collaboration</w:t>
            </w:r>
            <w:r w:rsidR="007130E1" w:rsidRPr="00942C17">
              <w:rPr>
                <w:rFonts w:cs="Arial"/>
                <w:color w:val="3D6684"/>
              </w:rPr>
              <w:t xml:space="preserve"> with portfolio managers</w:t>
            </w:r>
            <w:r w:rsidR="0094404F" w:rsidRPr="00942C17">
              <w:rPr>
                <w:rFonts w:cs="Arial"/>
                <w:color w:val="3D6684"/>
              </w:rPr>
              <w:t xml:space="preserve"> </w:t>
            </w:r>
            <w:r w:rsidR="007130E1" w:rsidRPr="00942C17">
              <w:rPr>
                <w:rFonts w:cs="Arial"/>
                <w:color w:val="3D6684"/>
              </w:rPr>
              <w:t>to understand risk appetite</w:t>
            </w:r>
            <w:r w:rsidR="000A4115" w:rsidRPr="00942C17">
              <w:rPr>
                <w:rFonts w:cs="Arial"/>
                <w:color w:val="3D6684"/>
              </w:rPr>
              <w:t>,</w:t>
            </w:r>
            <w:r w:rsidR="007130E1" w:rsidRPr="00942C17">
              <w:rPr>
                <w:rFonts w:cs="Arial"/>
                <w:color w:val="3D6684"/>
              </w:rPr>
              <w:t xml:space="preserve"> challenge portfolio construction</w:t>
            </w:r>
            <w:r w:rsidR="000A4115" w:rsidRPr="00942C17">
              <w:rPr>
                <w:rFonts w:cs="Arial"/>
                <w:color w:val="3D6684"/>
              </w:rPr>
              <w:t>, and</w:t>
            </w:r>
            <w:r w:rsidR="007130E1" w:rsidRPr="00942C17">
              <w:rPr>
                <w:rFonts w:cs="Arial"/>
                <w:color w:val="3D6684"/>
              </w:rPr>
              <w:t xml:space="preserve"> </w:t>
            </w:r>
            <w:r w:rsidRPr="00942C17">
              <w:rPr>
                <w:rFonts w:cs="Arial"/>
                <w:color w:val="3D6684"/>
              </w:rPr>
              <w:t>provide</w:t>
            </w:r>
            <w:r w:rsidR="0094404F" w:rsidRPr="00942C17">
              <w:rPr>
                <w:rFonts w:cs="Arial"/>
                <w:color w:val="3D6684"/>
              </w:rPr>
              <w:t xml:space="preserve"> clear, data-driven insights </w:t>
            </w:r>
            <w:r w:rsidR="007130E1" w:rsidRPr="00942C17">
              <w:rPr>
                <w:rFonts w:cs="Arial"/>
                <w:color w:val="3D6684"/>
              </w:rPr>
              <w:t>t</w:t>
            </w:r>
            <w:r w:rsidRPr="00942C17">
              <w:rPr>
                <w:rFonts w:cs="Arial"/>
                <w:color w:val="3D6684"/>
              </w:rPr>
              <w:t>hat support</w:t>
            </w:r>
            <w:r w:rsidR="007130E1" w:rsidRPr="00942C17">
              <w:rPr>
                <w:rFonts w:cs="Arial"/>
                <w:color w:val="3D6684"/>
              </w:rPr>
              <w:t xml:space="preserve"> informed </w:t>
            </w:r>
            <w:r w:rsidR="0094404F" w:rsidRPr="00942C17">
              <w:rPr>
                <w:rFonts w:cs="Arial"/>
                <w:color w:val="3D6684"/>
              </w:rPr>
              <w:t>investment decisions</w:t>
            </w:r>
            <w:r w:rsidR="000A4115" w:rsidRPr="00942C17">
              <w:rPr>
                <w:rFonts w:cs="Arial"/>
                <w:color w:val="3D6684"/>
              </w:rPr>
              <w:t>.</w:t>
            </w:r>
          </w:p>
          <w:p w14:paraId="1E32D2CC" w14:textId="3051AC8F" w:rsidR="0072675F" w:rsidRPr="00942C17" w:rsidRDefault="0072675F" w:rsidP="00942C17">
            <w:pPr>
              <w:pStyle w:val="ListParagraph"/>
              <w:numPr>
                <w:ilvl w:val="0"/>
                <w:numId w:val="2"/>
              </w:numPr>
              <w:spacing w:after="60" w:line="257" w:lineRule="auto"/>
              <w:contextualSpacing w:val="0"/>
              <w:jc w:val="both"/>
              <w:rPr>
                <w:rFonts w:cs="Arial"/>
                <w:color w:val="3D6684"/>
              </w:rPr>
            </w:pPr>
            <w:r w:rsidRPr="00942C17">
              <w:rPr>
                <w:rFonts w:cs="Arial"/>
                <w:color w:val="3D6684"/>
              </w:rPr>
              <w:t>Ensure climate change and broader ESG risks are incorporated in the investment risk framework.</w:t>
            </w:r>
          </w:p>
          <w:p w14:paraId="1E630A4B" w14:textId="32AD7687" w:rsidR="0072675F" w:rsidRPr="00942C17" w:rsidRDefault="0072675F" w:rsidP="00942C17">
            <w:pPr>
              <w:pStyle w:val="ListParagraph"/>
              <w:numPr>
                <w:ilvl w:val="0"/>
                <w:numId w:val="2"/>
              </w:numPr>
              <w:spacing w:after="60" w:line="257" w:lineRule="auto"/>
              <w:contextualSpacing w:val="0"/>
              <w:jc w:val="both"/>
              <w:rPr>
                <w:rFonts w:cs="Arial"/>
                <w:color w:val="3D6684"/>
              </w:rPr>
            </w:pPr>
            <w:r w:rsidRPr="00942C17">
              <w:rPr>
                <w:rFonts w:cs="Arial"/>
                <w:color w:val="3D6684"/>
              </w:rPr>
              <w:t xml:space="preserve">Be aware of and analyse regulatory requirements (e.g. UCITS and AIFMD) and establish the necessary processes or monitoring mechanisms to ensure compliance.   </w:t>
            </w:r>
          </w:p>
          <w:p w14:paraId="131E6D93" w14:textId="1BCDA6E0" w:rsidR="0072675F" w:rsidRPr="00942C17" w:rsidRDefault="0072675F" w:rsidP="00942C17">
            <w:pPr>
              <w:pStyle w:val="ListParagraph"/>
              <w:numPr>
                <w:ilvl w:val="0"/>
                <w:numId w:val="2"/>
              </w:numPr>
              <w:spacing w:after="60" w:line="257" w:lineRule="auto"/>
              <w:contextualSpacing w:val="0"/>
              <w:jc w:val="both"/>
              <w:rPr>
                <w:rFonts w:cs="Arial"/>
                <w:color w:val="3D6684"/>
              </w:rPr>
            </w:pPr>
            <w:r w:rsidRPr="00942C17">
              <w:rPr>
                <w:rFonts w:cs="Arial"/>
                <w:color w:val="3D6684"/>
              </w:rPr>
              <w:t>Ensure models are validated. This includes proposing validation plans, conducting validation checks, highlighting key model assumptions and limitations, and delivering clear recommendations on their appropriate use.</w:t>
            </w:r>
          </w:p>
          <w:p w14:paraId="006082AE" w14:textId="2160ABA3" w:rsidR="00341C3E" w:rsidRDefault="001401C0" w:rsidP="00942C17">
            <w:pPr>
              <w:pStyle w:val="ListParagraph"/>
              <w:numPr>
                <w:ilvl w:val="0"/>
                <w:numId w:val="2"/>
              </w:numPr>
              <w:spacing w:after="60" w:line="257" w:lineRule="auto"/>
              <w:contextualSpacing w:val="0"/>
              <w:jc w:val="both"/>
              <w:rPr>
                <w:rFonts w:cs="Arial"/>
                <w:color w:val="3D6684"/>
              </w:rPr>
            </w:pPr>
            <w:r w:rsidRPr="00942C17">
              <w:rPr>
                <w:rFonts w:cs="Arial"/>
                <w:color w:val="3D6684"/>
              </w:rPr>
              <w:t>Develop methodologies</w:t>
            </w:r>
            <w:r w:rsidR="00D92090" w:rsidRPr="00942C17">
              <w:rPr>
                <w:rFonts w:cs="Arial"/>
                <w:color w:val="3D6684"/>
              </w:rPr>
              <w:t xml:space="preserve"> and</w:t>
            </w:r>
            <w:r w:rsidR="007103DD" w:rsidRPr="00942C17">
              <w:rPr>
                <w:rFonts w:cs="Arial"/>
                <w:color w:val="3D6684"/>
              </w:rPr>
              <w:t xml:space="preserve"> tools </w:t>
            </w:r>
            <w:r w:rsidR="005318CD" w:rsidRPr="00942C17">
              <w:rPr>
                <w:rFonts w:cs="Arial"/>
                <w:color w:val="3D6684"/>
              </w:rPr>
              <w:t xml:space="preserve">to support complex portfolio </w:t>
            </w:r>
            <w:r w:rsidR="0072675F" w:rsidRPr="00942C17">
              <w:rPr>
                <w:rFonts w:cs="Arial"/>
                <w:color w:val="3D6684"/>
              </w:rPr>
              <w:t xml:space="preserve">risk </w:t>
            </w:r>
            <w:r w:rsidR="005318CD" w:rsidRPr="00942C17">
              <w:rPr>
                <w:rFonts w:cs="Arial"/>
                <w:color w:val="3D6684"/>
              </w:rPr>
              <w:t xml:space="preserve">analysis and </w:t>
            </w:r>
            <w:r w:rsidR="00CF1908" w:rsidRPr="00942C17">
              <w:rPr>
                <w:rFonts w:cs="Arial"/>
                <w:color w:val="3D6684"/>
              </w:rPr>
              <w:t>a</w:t>
            </w:r>
            <w:r w:rsidR="0080702F" w:rsidRPr="00942C17">
              <w:rPr>
                <w:rFonts w:cs="Arial"/>
                <w:color w:val="3D6684"/>
              </w:rPr>
              <w:t>n</w:t>
            </w:r>
            <w:r w:rsidR="00CF1908" w:rsidRPr="00942C17">
              <w:rPr>
                <w:rFonts w:cs="Arial"/>
                <w:color w:val="3D6684"/>
              </w:rPr>
              <w:t xml:space="preserve"> </w:t>
            </w:r>
            <w:r w:rsidR="0055383D" w:rsidRPr="00942C17">
              <w:rPr>
                <w:rFonts w:cs="Arial"/>
                <w:color w:val="3D6684"/>
              </w:rPr>
              <w:t>efficient</w:t>
            </w:r>
            <w:r w:rsidR="00F31A77" w:rsidRPr="00942C17">
              <w:rPr>
                <w:rFonts w:cs="Arial"/>
                <w:color w:val="3D6684"/>
              </w:rPr>
              <w:t xml:space="preserve"> investment </w:t>
            </w:r>
            <w:r w:rsidR="0055383D" w:rsidRPr="00942C17">
              <w:rPr>
                <w:rFonts w:cs="Arial"/>
                <w:color w:val="3D6684"/>
              </w:rPr>
              <w:t>risk</w:t>
            </w:r>
            <w:r w:rsidR="00CF1908" w:rsidRPr="00942C17">
              <w:rPr>
                <w:rFonts w:cs="Arial"/>
                <w:color w:val="3D6684"/>
              </w:rPr>
              <w:t xml:space="preserve"> framework</w:t>
            </w:r>
            <w:r w:rsidR="00FE77C2" w:rsidRPr="00942C17">
              <w:rPr>
                <w:rFonts w:cs="Arial"/>
                <w:color w:val="3D6684"/>
              </w:rPr>
              <w:t>. This require</w:t>
            </w:r>
            <w:r w:rsidR="007D5AEE" w:rsidRPr="00942C17">
              <w:rPr>
                <w:rFonts w:cs="Arial"/>
                <w:color w:val="3D6684"/>
              </w:rPr>
              <w:t xml:space="preserve">s </w:t>
            </w:r>
            <w:r w:rsidR="00035125" w:rsidRPr="00942C17">
              <w:rPr>
                <w:rFonts w:cs="Arial"/>
                <w:color w:val="3D6684"/>
              </w:rPr>
              <w:t>coding</w:t>
            </w:r>
            <w:r w:rsidR="00341C3E" w:rsidRPr="00942C17">
              <w:rPr>
                <w:rFonts w:cs="Arial"/>
                <w:color w:val="3D6684"/>
              </w:rPr>
              <w:t xml:space="preserve"> data queries,</w:t>
            </w:r>
            <w:r w:rsidR="005D47D5" w:rsidRPr="00942C17">
              <w:rPr>
                <w:rFonts w:cs="Arial"/>
                <w:color w:val="3D6684"/>
              </w:rPr>
              <w:t xml:space="preserve"> data analysis</w:t>
            </w:r>
            <w:r w:rsidR="006B61AF" w:rsidRPr="00942C17">
              <w:rPr>
                <w:rFonts w:cs="Arial"/>
                <w:color w:val="3D6684"/>
              </w:rPr>
              <w:t xml:space="preserve"> programs</w:t>
            </w:r>
            <w:r w:rsidR="005D47D5" w:rsidRPr="00942C17">
              <w:rPr>
                <w:rFonts w:cs="Arial"/>
                <w:color w:val="3D6684"/>
              </w:rPr>
              <w:t>,</w:t>
            </w:r>
            <w:r w:rsidR="006B61AF" w:rsidRPr="00942C17">
              <w:rPr>
                <w:rFonts w:cs="Arial"/>
                <w:color w:val="3D6684"/>
              </w:rPr>
              <w:t xml:space="preserve"> develop automated</w:t>
            </w:r>
            <w:r w:rsidR="00341C3E" w:rsidRPr="00942C17">
              <w:rPr>
                <w:rFonts w:cs="Arial"/>
                <w:color w:val="3D6684"/>
              </w:rPr>
              <w:t xml:space="preserve"> reporting and</w:t>
            </w:r>
            <w:r w:rsidR="00A406C3" w:rsidRPr="00942C17">
              <w:rPr>
                <w:rFonts w:cs="Arial"/>
                <w:color w:val="3D6684"/>
              </w:rPr>
              <w:t xml:space="preserve"> data</w:t>
            </w:r>
            <w:r w:rsidR="00341C3E" w:rsidRPr="00942C17">
              <w:rPr>
                <w:rFonts w:cs="Arial"/>
                <w:color w:val="3D6684"/>
              </w:rPr>
              <w:t xml:space="preserve"> visualisation</w:t>
            </w:r>
            <w:r w:rsidR="00A406C3" w:rsidRPr="00942C17">
              <w:rPr>
                <w:rFonts w:cs="Arial"/>
                <w:color w:val="3D6684"/>
              </w:rPr>
              <w:t xml:space="preserve"> solutions</w:t>
            </w:r>
            <w:r w:rsidR="00AA130A" w:rsidRPr="00942C17">
              <w:rPr>
                <w:rFonts w:cs="Arial"/>
                <w:color w:val="3D6684"/>
              </w:rPr>
              <w:t>.</w:t>
            </w:r>
          </w:p>
          <w:p w14:paraId="26C7CA17" w14:textId="0B351E0A" w:rsidR="007A168E" w:rsidRPr="00942C17" w:rsidRDefault="007A168E" w:rsidP="00942C17">
            <w:pPr>
              <w:pStyle w:val="ListParagraph"/>
              <w:numPr>
                <w:ilvl w:val="0"/>
                <w:numId w:val="2"/>
              </w:numPr>
              <w:spacing w:after="60" w:line="257" w:lineRule="auto"/>
              <w:contextualSpacing w:val="0"/>
              <w:jc w:val="both"/>
              <w:rPr>
                <w:rFonts w:cs="Arial"/>
                <w:color w:val="3D6684"/>
              </w:rPr>
            </w:pPr>
            <w:r>
              <w:rPr>
                <w:rFonts w:cs="Arial"/>
                <w:color w:val="3D6684"/>
              </w:rPr>
              <w:t>Monitor seed capital risk and corresponding hedge effectiveness.</w:t>
            </w:r>
          </w:p>
          <w:p w14:paraId="3BDFF06F" w14:textId="18459FEF" w:rsidR="002D05D4" w:rsidRPr="00942C17" w:rsidRDefault="0080702F" w:rsidP="00942C17">
            <w:pPr>
              <w:pStyle w:val="ListParagraph"/>
              <w:numPr>
                <w:ilvl w:val="0"/>
                <w:numId w:val="2"/>
              </w:numPr>
              <w:spacing w:after="60" w:line="257" w:lineRule="auto"/>
              <w:contextualSpacing w:val="0"/>
              <w:jc w:val="both"/>
              <w:rPr>
                <w:rFonts w:cs="Arial"/>
                <w:color w:val="3D6684"/>
              </w:rPr>
            </w:pPr>
            <w:r w:rsidRPr="00942C17">
              <w:rPr>
                <w:rFonts w:cs="Arial"/>
                <w:color w:val="3D6684"/>
              </w:rPr>
              <w:t>Prepare materials and deliver presentations to stakeholders (internal or external) and e</w:t>
            </w:r>
            <w:r w:rsidR="0055383D" w:rsidRPr="00942C17">
              <w:rPr>
                <w:rFonts w:cs="Arial"/>
                <w:color w:val="3D6684"/>
              </w:rPr>
              <w:t>nsure</w:t>
            </w:r>
            <w:r w:rsidR="00AE7BBB" w:rsidRPr="00942C17">
              <w:rPr>
                <w:rFonts w:cs="Arial"/>
                <w:color w:val="3D6684"/>
              </w:rPr>
              <w:t xml:space="preserve"> accurate and timely responses</w:t>
            </w:r>
            <w:r w:rsidR="0055383D" w:rsidRPr="00942C17">
              <w:rPr>
                <w:rFonts w:cs="Arial"/>
                <w:color w:val="3D6684"/>
              </w:rPr>
              <w:t xml:space="preserve"> </w:t>
            </w:r>
            <w:r w:rsidRPr="00942C17">
              <w:rPr>
                <w:rFonts w:cs="Arial"/>
                <w:color w:val="3D6684"/>
              </w:rPr>
              <w:t>to</w:t>
            </w:r>
            <w:r w:rsidR="00AE7BBB" w:rsidRPr="00942C17">
              <w:rPr>
                <w:rFonts w:cs="Arial"/>
                <w:color w:val="3D6684"/>
              </w:rPr>
              <w:t xml:space="preserve"> RFPs, due diligences and </w:t>
            </w:r>
            <w:r w:rsidRPr="00942C17">
              <w:rPr>
                <w:rFonts w:cs="Arial"/>
                <w:color w:val="3D6684"/>
              </w:rPr>
              <w:t xml:space="preserve">other </w:t>
            </w:r>
            <w:r w:rsidR="00AE7BBB" w:rsidRPr="00942C17">
              <w:rPr>
                <w:rFonts w:cs="Arial"/>
                <w:color w:val="3D6684"/>
              </w:rPr>
              <w:t>information requests.</w:t>
            </w:r>
          </w:p>
          <w:p w14:paraId="472182D4" w14:textId="4409B077" w:rsidR="00A54E28" w:rsidRPr="00942C17" w:rsidRDefault="0080702F" w:rsidP="00942C17">
            <w:pPr>
              <w:pStyle w:val="ListParagraph"/>
              <w:numPr>
                <w:ilvl w:val="0"/>
                <w:numId w:val="2"/>
              </w:numPr>
              <w:spacing w:after="60" w:line="257" w:lineRule="auto"/>
              <w:contextualSpacing w:val="0"/>
              <w:jc w:val="both"/>
              <w:rPr>
                <w:rFonts w:cs="Arial"/>
                <w:color w:val="3D6684"/>
              </w:rPr>
            </w:pPr>
            <w:r w:rsidRPr="00942C17">
              <w:rPr>
                <w:rFonts w:cs="Arial"/>
                <w:color w:val="3D6684"/>
              </w:rPr>
              <w:t xml:space="preserve">Represent the </w:t>
            </w:r>
            <w:r w:rsidR="00F84770" w:rsidRPr="00942C17">
              <w:rPr>
                <w:rFonts w:cs="Arial"/>
                <w:color w:val="3D6684"/>
              </w:rPr>
              <w:t>I</w:t>
            </w:r>
            <w:r w:rsidRPr="00942C17">
              <w:rPr>
                <w:rFonts w:cs="Arial"/>
                <w:color w:val="3D6684"/>
              </w:rPr>
              <w:t xml:space="preserve">nvestment </w:t>
            </w:r>
            <w:r w:rsidR="00F84770" w:rsidRPr="00942C17">
              <w:rPr>
                <w:rFonts w:cs="Arial"/>
                <w:color w:val="3D6684"/>
              </w:rPr>
              <w:t>R</w:t>
            </w:r>
            <w:r w:rsidRPr="00942C17">
              <w:rPr>
                <w:rFonts w:cs="Arial"/>
                <w:color w:val="3D6684"/>
              </w:rPr>
              <w:t xml:space="preserve">isk team </w:t>
            </w:r>
            <w:r w:rsidR="00263982" w:rsidRPr="00942C17">
              <w:rPr>
                <w:rFonts w:cs="Arial"/>
                <w:color w:val="3D6684"/>
              </w:rPr>
              <w:t>in product development initiatives</w:t>
            </w:r>
            <w:r w:rsidRPr="00942C17">
              <w:rPr>
                <w:rFonts w:cs="Arial"/>
                <w:color w:val="3D6684"/>
              </w:rPr>
              <w:t>, ensure all investment risks are identified and adequately managed.</w:t>
            </w:r>
          </w:p>
          <w:p w14:paraId="7889A337" w14:textId="14A6F13C" w:rsidR="0080702F" w:rsidRPr="00942C17" w:rsidRDefault="0080702F" w:rsidP="00942C17">
            <w:pPr>
              <w:pStyle w:val="ListParagraph"/>
              <w:numPr>
                <w:ilvl w:val="0"/>
                <w:numId w:val="2"/>
              </w:numPr>
              <w:spacing w:after="60" w:line="257" w:lineRule="auto"/>
              <w:contextualSpacing w:val="0"/>
              <w:jc w:val="both"/>
              <w:rPr>
                <w:rFonts w:cs="Arial"/>
                <w:color w:val="3D6684"/>
              </w:rPr>
            </w:pPr>
            <w:r w:rsidRPr="00942C17">
              <w:rPr>
                <w:rFonts w:cs="Arial"/>
                <w:color w:val="3D6684"/>
              </w:rPr>
              <w:lastRenderedPageBreak/>
              <w:t xml:space="preserve">Collaborate with IT to </w:t>
            </w:r>
            <w:r w:rsidR="00F84770" w:rsidRPr="00942C17">
              <w:rPr>
                <w:rFonts w:cs="Arial"/>
                <w:color w:val="3D6684"/>
              </w:rPr>
              <w:t>develop</w:t>
            </w:r>
            <w:r w:rsidRPr="00942C17">
              <w:rPr>
                <w:rFonts w:cs="Arial"/>
                <w:color w:val="3D6684"/>
              </w:rPr>
              <w:t xml:space="preserve"> efficient </w:t>
            </w:r>
            <w:r w:rsidR="00F84770" w:rsidRPr="00942C17">
              <w:rPr>
                <w:rFonts w:cs="Arial"/>
                <w:color w:val="3D6684"/>
              </w:rPr>
              <w:t xml:space="preserve">investment </w:t>
            </w:r>
            <w:r w:rsidRPr="00942C17">
              <w:rPr>
                <w:rFonts w:cs="Arial"/>
                <w:color w:val="3D6684"/>
              </w:rPr>
              <w:t>risk data management and automated, scalable processes.</w:t>
            </w:r>
          </w:p>
          <w:p w14:paraId="0334ADCE" w14:textId="28E184E9" w:rsidR="00035125" w:rsidRPr="00942C17" w:rsidRDefault="00035125" w:rsidP="00942C17">
            <w:pPr>
              <w:pStyle w:val="ListParagraph"/>
              <w:numPr>
                <w:ilvl w:val="0"/>
                <w:numId w:val="2"/>
              </w:numPr>
              <w:spacing w:after="60" w:line="257" w:lineRule="auto"/>
              <w:contextualSpacing w:val="0"/>
              <w:jc w:val="both"/>
              <w:rPr>
                <w:rFonts w:cs="Arial"/>
                <w:color w:val="3D6684"/>
              </w:rPr>
            </w:pPr>
            <w:r w:rsidRPr="00942C17">
              <w:rPr>
                <w:rFonts w:cs="Arial"/>
                <w:color w:val="3D6684"/>
              </w:rPr>
              <w:t xml:space="preserve">Manage the </w:t>
            </w:r>
            <w:r w:rsidR="00942C17">
              <w:rPr>
                <w:rFonts w:cs="Arial"/>
                <w:color w:val="3D6684"/>
              </w:rPr>
              <w:t xml:space="preserve">Investment Risk </w:t>
            </w:r>
            <w:r w:rsidRPr="00942C17">
              <w:rPr>
                <w:rFonts w:cs="Arial"/>
                <w:color w:val="3D6684"/>
              </w:rPr>
              <w:t xml:space="preserve">team to ensure delivery of </w:t>
            </w:r>
            <w:r w:rsidR="00F84770" w:rsidRPr="00942C17">
              <w:rPr>
                <w:rFonts w:cs="Arial"/>
                <w:color w:val="3D6684"/>
              </w:rPr>
              <w:t xml:space="preserve">required </w:t>
            </w:r>
            <w:r w:rsidRPr="00942C17">
              <w:rPr>
                <w:rFonts w:cs="Arial"/>
                <w:color w:val="3D6684"/>
              </w:rPr>
              <w:t>service levels, client and regulatory requirements.</w:t>
            </w:r>
            <w:r w:rsidR="00F84770" w:rsidRPr="00942C17">
              <w:rPr>
                <w:rFonts w:cs="Arial"/>
                <w:color w:val="3D6684"/>
              </w:rPr>
              <w:t xml:space="preserve"> </w:t>
            </w:r>
            <w:r w:rsidRPr="00942C17">
              <w:rPr>
                <w:rFonts w:cs="Arial"/>
                <w:color w:val="3D6684"/>
              </w:rPr>
              <w:t>Ensure the team is appropriately skilled and high performing, promote continual development and the values and behaviours of GIB’s culture.</w:t>
            </w:r>
          </w:p>
          <w:p w14:paraId="7D8D49FF" w14:textId="77777777" w:rsidR="00E84EA0" w:rsidRDefault="00E84EA0" w:rsidP="00E84EA0">
            <w:pPr>
              <w:rPr>
                <w:bCs/>
                <w:color w:val="3D6684"/>
              </w:rPr>
            </w:pPr>
          </w:p>
          <w:p w14:paraId="3F89559D" w14:textId="2739497D" w:rsidR="00D4210E" w:rsidRPr="00826AFF" w:rsidRDefault="00D4210E" w:rsidP="000A71F8">
            <w:pPr>
              <w:spacing w:line="256" w:lineRule="auto"/>
              <w:rPr>
                <w:b/>
                <w:bCs/>
                <w:color w:val="3D6684"/>
              </w:rPr>
            </w:pPr>
            <w:r w:rsidRPr="00826AFF">
              <w:rPr>
                <w:b/>
                <w:bCs/>
                <w:color w:val="3D6684"/>
              </w:rPr>
              <w:t>Culture responsibilities</w:t>
            </w:r>
            <w:r w:rsidR="004D13D0">
              <w:rPr>
                <w:b/>
                <w:bCs/>
                <w:color w:val="3D6684"/>
              </w:rPr>
              <w:t xml:space="preserve"> </w:t>
            </w:r>
          </w:p>
          <w:p w14:paraId="50D0CBBE" w14:textId="35816195" w:rsidR="00365459" w:rsidRDefault="00D4210E" w:rsidP="000A71F8">
            <w:pPr>
              <w:spacing w:line="256" w:lineRule="auto"/>
              <w:rPr>
                <w:b/>
                <w:bCs/>
                <w:color w:val="3D6684"/>
              </w:rPr>
            </w:pPr>
            <w:r w:rsidRPr="00826AFF">
              <w:rPr>
                <w:b/>
                <w:bCs/>
                <w:color w:val="3D6684"/>
              </w:rPr>
              <w:t xml:space="preserve"> </w:t>
            </w:r>
          </w:p>
          <w:p w14:paraId="36AA9BD8" w14:textId="77777777" w:rsidR="00035125" w:rsidRPr="00C42278" w:rsidRDefault="00035125" w:rsidP="00035125">
            <w:pPr>
              <w:pStyle w:val="ListParagraph"/>
              <w:numPr>
                <w:ilvl w:val="0"/>
                <w:numId w:val="2"/>
              </w:numPr>
              <w:spacing w:after="60" w:line="257" w:lineRule="auto"/>
              <w:contextualSpacing w:val="0"/>
              <w:jc w:val="both"/>
              <w:rPr>
                <w:rFonts w:cs="Arial"/>
                <w:color w:val="3D6684"/>
              </w:rPr>
            </w:pPr>
            <w:r w:rsidRPr="00C42278">
              <w:rPr>
                <w:rFonts w:cs="Arial"/>
                <w:color w:val="3D6684"/>
              </w:rPr>
              <w:t xml:space="preserve">Implement target culture, including D&amp;I, in department </w:t>
            </w:r>
          </w:p>
          <w:p w14:paraId="4A298DD4" w14:textId="77777777" w:rsidR="00035125" w:rsidRPr="00C42278" w:rsidRDefault="00035125" w:rsidP="00035125">
            <w:pPr>
              <w:pStyle w:val="ListParagraph"/>
              <w:numPr>
                <w:ilvl w:val="0"/>
                <w:numId w:val="2"/>
              </w:numPr>
              <w:spacing w:after="60" w:line="257" w:lineRule="auto"/>
              <w:contextualSpacing w:val="0"/>
              <w:jc w:val="both"/>
              <w:rPr>
                <w:rFonts w:cs="Arial"/>
                <w:color w:val="3D6684"/>
              </w:rPr>
            </w:pPr>
            <w:r w:rsidRPr="00C42278">
              <w:rPr>
                <w:rFonts w:cs="Arial"/>
                <w:color w:val="3D6684"/>
              </w:rPr>
              <w:t>Proactively drive action to help achieve our sustainability objectives</w:t>
            </w:r>
          </w:p>
          <w:p w14:paraId="3732C81F" w14:textId="77777777" w:rsidR="00035125" w:rsidRPr="00C42278" w:rsidRDefault="00035125" w:rsidP="00035125">
            <w:pPr>
              <w:pStyle w:val="ListParagraph"/>
              <w:numPr>
                <w:ilvl w:val="0"/>
                <w:numId w:val="2"/>
              </w:numPr>
              <w:spacing w:after="60" w:line="257" w:lineRule="auto"/>
              <w:contextualSpacing w:val="0"/>
              <w:jc w:val="both"/>
              <w:rPr>
                <w:rFonts w:cs="Arial"/>
                <w:color w:val="3D6684"/>
              </w:rPr>
            </w:pPr>
            <w:r w:rsidRPr="00C42278">
              <w:rPr>
                <w:rFonts w:cs="Arial"/>
                <w:color w:val="3D6684"/>
              </w:rPr>
              <w:t>Maintain understanding of regulatory requirements and best market practices</w:t>
            </w:r>
          </w:p>
          <w:p w14:paraId="11D71FF3" w14:textId="77777777" w:rsidR="00035125" w:rsidRDefault="00035125" w:rsidP="00035125">
            <w:pPr>
              <w:pStyle w:val="ListParagraph"/>
              <w:numPr>
                <w:ilvl w:val="0"/>
                <w:numId w:val="2"/>
              </w:numPr>
              <w:spacing w:after="60" w:line="257" w:lineRule="auto"/>
              <w:contextualSpacing w:val="0"/>
              <w:jc w:val="both"/>
              <w:rPr>
                <w:rFonts w:cs="Arial"/>
                <w:color w:val="3D6684"/>
              </w:rPr>
            </w:pPr>
            <w:r w:rsidRPr="00C42278">
              <w:rPr>
                <w:rFonts w:cs="Arial"/>
                <w:color w:val="3D6684"/>
              </w:rPr>
              <w:t xml:space="preserve">Own relevant policies and procedures as per Governance Framework </w:t>
            </w:r>
          </w:p>
          <w:p w14:paraId="40A0DCDA" w14:textId="78ACA231" w:rsidR="00035125" w:rsidRPr="00035125" w:rsidRDefault="00035125" w:rsidP="00035125">
            <w:pPr>
              <w:pStyle w:val="ListParagraph"/>
              <w:numPr>
                <w:ilvl w:val="0"/>
                <w:numId w:val="2"/>
              </w:numPr>
              <w:spacing w:after="60" w:line="257" w:lineRule="auto"/>
              <w:contextualSpacing w:val="0"/>
              <w:jc w:val="both"/>
              <w:rPr>
                <w:rFonts w:cs="Arial"/>
                <w:color w:val="3D6684"/>
              </w:rPr>
            </w:pPr>
            <w:r w:rsidRPr="00035125">
              <w:rPr>
                <w:rFonts w:cs="Arial"/>
                <w:color w:val="3D6684"/>
              </w:rPr>
              <w:t>Represent the department on committees and working groups, in an open and pro-active way</w:t>
            </w:r>
          </w:p>
          <w:p w14:paraId="1D7455EA" w14:textId="433F63F5" w:rsidR="004711A2" w:rsidRPr="00035125" w:rsidRDefault="004711A2" w:rsidP="00035125">
            <w:pPr>
              <w:rPr>
                <w:bCs/>
                <w:color w:val="3D6684"/>
              </w:rPr>
            </w:pPr>
          </w:p>
        </w:tc>
      </w:tr>
    </w:tbl>
    <w:p w14:paraId="02BA3FED" w14:textId="77777777" w:rsidR="00EE4756" w:rsidRPr="00A22F81" w:rsidRDefault="00EE4756" w:rsidP="000A71F8">
      <w:pPr>
        <w:spacing w:line="256" w:lineRule="auto"/>
        <w:rPr>
          <w:rFonts w:ascii="Arial" w:eastAsia="Times New Roman" w:hAnsi="Arial" w:cs="Times New Roman"/>
          <w:bCs/>
          <w:color w:val="3C6683"/>
        </w:rPr>
      </w:pPr>
    </w:p>
    <w:p w14:paraId="3E33231E" w14:textId="2F5D271C" w:rsidR="00EE4756" w:rsidRDefault="00C8761D" w:rsidP="000A71F8">
      <w:pPr>
        <w:spacing w:line="256" w:lineRule="auto"/>
        <w:rPr>
          <w:rFonts w:ascii="Arial" w:eastAsia="Times New Roman" w:hAnsi="Arial" w:cs="Times New Roman"/>
          <w:b/>
          <w:bCs/>
          <w:color w:val="3C6683"/>
        </w:rPr>
      </w:pPr>
      <w:r>
        <w:rPr>
          <w:rFonts w:ascii="Arial" w:eastAsia="Times New Roman" w:hAnsi="Arial" w:cs="Times New Roman"/>
          <w:b/>
          <w:bCs/>
          <w:color w:val="3C6683"/>
        </w:rPr>
        <w:t>E</w:t>
      </w:r>
      <w:r w:rsidR="00117E21">
        <w:rPr>
          <w:rFonts w:ascii="Arial" w:eastAsia="Times New Roman" w:hAnsi="Arial" w:cs="Times New Roman"/>
          <w:b/>
          <w:bCs/>
          <w:color w:val="3C6683"/>
        </w:rPr>
        <w:t xml:space="preserve">xperience, </w:t>
      </w:r>
      <w:r w:rsidR="002B2B35">
        <w:rPr>
          <w:rFonts w:ascii="Arial" w:eastAsia="Times New Roman" w:hAnsi="Arial" w:cs="Times New Roman"/>
          <w:b/>
          <w:bCs/>
          <w:color w:val="3C6683"/>
        </w:rPr>
        <w:t>s</w:t>
      </w:r>
      <w:r w:rsidR="00EE4756">
        <w:rPr>
          <w:rFonts w:ascii="Arial" w:eastAsia="Times New Roman" w:hAnsi="Arial" w:cs="Times New Roman"/>
          <w:b/>
          <w:bCs/>
          <w:color w:val="3C6683"/>
        </w:rPr>
        <w:t>kills</w:t>
      </w:r>
      <w:r w:rsidR="00117E21">
        <w:rPr>
          <w:rFonts w:ascii="Arial" w:eastAsia="Times New Roman" w:hAnsi="Arial" w:cs="Times New Roman"/>
          <w:b/>
          <w:bCs/>
          <w:color w:val="3C6683"/>
        </w:rPr>
        <w:t xml:space="preserve"> and know</w:t>
      </w:r>
      <w:r w:rsidR="00EE4756">
        <w:rPr>
          <w:rFonts w:ascii="Arial" w:eastAsia="Times New Roman" w:hAnsi="Arial" w:cs="Times New Roman"/>
          <w:b/>
          <w:bCs/>
          <w:color w:val="3C6683"/>
        </w:rPr>
        <w:t>ledge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826AFF" w:rsidRPr="00826AFF" w14:paraId="54915568" w14:textId="77777777" w:rsidTr="00F27D78">
        <w:tc>
          <w:tcPr>
            <w:tcW w:w="9016" w:type="dxa"/>
            <w:tcBorders>
              <w:left w:val="single" w:sz="4" w:space="0" w:color="auto"/>
              <w:right w:val="single" w:sz="4" w:space="0" w:color="auto"/>
            </w:tcBorders>
          </w:tcPr>
          <w:p w14:paraId="349B2FD5" w14:textId="31A844FA" w:rsidR="00365459" w:rsidRPr="00594BB7" w:rsidRDefault="00365459" w:rsidP="00365459">
            <w:pPr>
              <w:spacing w:line="256" w:lineRule="auto"/>
              <w:rPr>
                <w:b/>
                <w:bCs/>
                <w:color w:val="3D6684"/>
              </w:rPr>
            </w:pPr>
            <w:r w:rsidRPr="00594BB7">
              <w:rPr>
                <w:b/>
                <w:bCs/>
                <w:color w:val="3D6684"/>
              </w:rPr>
              <w:t>Professional qualifications required</w:t>
            </w:r>
            <w:r w:rsidR="00343CD8" w:rsidRPr="00594BB7">
              <w:rPr>
                <w:b/>
                <w:bCs/>
                <w:color w:val="3D6684"/>
              </w:rPr>
              <w:t xml:space="preserve"> (if </w:t>
            </w:r>
            <w:r w:rsidR="005B63C7" w:rsidRPr="00594BB7">
              <w:rPr>
                <w:b/>
                <w:bCs/>
                <w:color w:val="3D6684"/>
              </w:rPr>
              <w:t>applicable</w:t>
            </w:r>
            <w:r w:rsidR="00343CD8" w:rsidRPr="00594BB7">
              <w:rPr>
                <w:b/>
                <w:bCs/>
                <w:color w:val="3D6684"/>
              </w:rPr>
              <w:t>)</w:t>
            </w:r>
          </w:p>
          <w:p w14:paraId="2CA86530" w14:textId="44BD4FCA" w:rsidR="00611B23" w:rsidRPr="00594BB7" w:rsidRDefault="00942C17" w:rsidP="00594BB7">
            <w:pPr>
              <w:spacing w:line="256" w:lineRule="auto"/>
              <w:rPr>
                <w:color w:val="3D6684"/>
              </w:rPr>
            </w:pPr>
            <w:r>
              <w:rPr>
                <w:color w:val="3D6684"/>
              </w:rPr>
              <w:t>Profession</w:t>
            </w:r>
            <w:r w:rsidR="002A5270">
              <w:rPr>
                <w:color w:val="3D6684"/>
              </w:rPr>
              <w:t>al</w:t>
            </w:r>
            <w:r>
              <w:rPr>
                <w:color w:val="3D6684"/>
              </w:rPr>
              <w:t xml:space="preserve"> qualification such as FRM, PRM, CQF or CFA preferred but not essential. </w:t>
            </w:r>
            <w:r w:rsidR="00611B23" w:rsidRPr="00594BB7">
              <w:rPr>
                <w:color w:val="3D6684"/>
              </w:rPr>
              <w:t>Degree in a numerical discipline preferred.</w:t>
            </w:r>
          </w:p>
          <w:p w14:paraId="312FAD39" w14:textId="3385645F" w:rsidR="00832F48" w:rsidRPr="00041E56" w:rsidRDefault="00832F48" w:rsidP="00365459">
            <w:pPr>
              <w:spacing w:line="256" w:lineRule="auto"/>
              <w:rPr>
                <w:b/>
                <w:bCs/>
                <w:color w:val="FFC000" w:themeColor="accent4"/>
              </w:rPr>
            </w:pPr>
          </w:p>
          <w:p w14:paraId="58CA6C78" w14:textId="2DAACF9A" w:rsidR="00611B23" w:rsidRPr="00041E56" w:rsidRDefault="002B2B35" w:rsidP="00365459">
            <w:pPr>
              <w:spacing w:line="256" w:lineRule="auto"/>
              <w:rPr>
                <w:b/>
                <w:bCs/>
                <w:color w:val="FFC000" w:themeColor="accent4"/>
              </w:rPr>
            </w:pPr>
            <w:r w:rsidRPr="00594BB7">
              <w:rPr>
                <w:b/>
                <w:bCs/>
                <w:color w:val="3D6684"/>
              </w:rPr>
              <w:t>E</w:t>
            </w:r>
            <w:r w:rsidR="00F27D78" w:rsidRPr="00594BB7">
              <w:rPr>
                <w:b/>
                <w:bCs/>
                <w:color w:val="3D6684"/>
              </w:rPr>
              <w:t>xperience</w:t>
            </w:r>
            <w:r w:rsidR="00E65956" w:rsidRPr="00594BB7">
              <w:rPr>
                <w:b/>
                <w:bCs/>
                <w:color w:val="3D6684"/>
              </w:rPr>
              <w:t xml:space="preserve"> </w:t>
            </w:r>
          </w:p>
          <w:p w14:paraId="57C75B9F" w14:textId="6363FAD7" w:rsidR="00611B23" w:rsidRDefault="00611B23" w:rsidP="00611B23">
            <w:pPr>
              <w:pStyle w:val="ListParagraph"/>
              <w:numPr>
                <w:ilvl w:val="0"/>
                <w:numId w:val="2"/>
              </w:numPr>
              <w:rPr>
                <w:color w:val="3D6684"/>
              </w:rPr>
            </w:pPr>
            <w:r w:rsidRPr="0099490B">
              <w:rPr>
                <w:color w:val="3D6684"/>
              </w:rPr>
              <w:t xml:space="preserve">Circa </w:t>
            </w:r>
            <w:r w:rsidR="00EC66B3" w:rsidRPr="0099490B">
              <w:rPr>
                <w:color w:val="3D6684"/>
              </w:rPr>
              <w:t>10</w:t>
            </w:r>
            <w:r w:rsidR="00594BB7" w:rsidRPr="0099490B">
              <w:rPr>
                <w:color w:val="3D6684"/>
              </w:rPr>
              <w:t xml:space="preserve"> </w:t>
            </w:r>
            <w:r w:rsidR="00D94EC0" w:rsidRPr="0099490B">
              <w:rPr>
                <w:color w:val="3D6684"/>
              </w:rPr>
              <w:t>years’ experience</w:t>
            </w:r>
            <w:r w:rsidRPr="0099490B">
              <w:rPr>
                <w:color w:val="3D6684"/>
              </w:rPr>
              <w:t xml:space="preserve"> within financial services (ideally an asset manager</w:t>
            </w:r>
            <w:r w:rsidR="00290BBC" w:rsidRPr="0099490B">
              <w:rPr>
                <w:color w:val="3D6684"/>
              </w:rPr>
              <w:t xml:space="preserve"> </w:t>
            </w:r>
            <w:r w:rsidR="006614DE" w:rsidRPr="0099490B">
              <w:rPr>
                <w:color w:val="3D6684"/>
              </w:rPr>
              <w:t xml:space="preserve">or </w:t>
            </w:r>
            <w:r w:rsidR="00955DC2" w:rsidRPr="0099490B">
              <w:rPr>
                <w:color w:val="3D6684"/>
              </w:rPr>
              <w:t xml:space="preserve">a vendor of </w:t>
            </w:r>
            <w:r w:rsidR="006614DE" w:rsidRPr="0099490B">
              <w:rPr>
                <w:color w:val="3D6684"/>
              </w:rPr>
              <w:t>portfolio analytics</w:t>
            </w:r>
            <w:r w:rsidRPr="0099490B">
              <w:rPr>
                <w:color w:val="3D6684"/>
              </w:rPr>
              <w:t xml:space="preserve"> </w:t>
            </w:r>
            <w:r w:rsidR="00955DC2" w:rsidRPr="0099490B">
              <w:rPr>
                <w:color w:val="3D6684"/>
              </w:rPr>
              <w:t>solutions</w:t>
            </w:r>
            <w:r w:rsidR="00D94EC0" w:rsidRPr="0099490B">
              <w:rPr>
                <w:color w:val="3D6684"/>
              </w:rPr>
              <w:t>).</w:t>
            </w:r>
          </w:p>
          <w:p w14:paraId="40B37A45" w14:textId="06AF84CE" w:rsidR="003465AA" w:rsidRPr="0099490B" w:rsidRDefault="003465AA" w:rsidP="003465AA">
            <w:pPr>
              <w:pStyle w:val="ListParagraph"/>
              <w:numPr>
                <w:ilvl w:val="0"/>
                <w:numId w:val="2"/>
              </w:numPr>
              <w:rPr>
                <w:color w:val="3D6684"/>
              </w:rPr>
            </w:pPr>
            <w:r w:rsidRPr="0099490B">
              <w:rPr>
                <w:color w:val="3D6684"/>
              </w:rPr>
              <w:t xml:space="preserve">Experience using portfolio analytics software (e.g. Bloomberg PORT, Axioma, Aladdin, RiskMetrics). Knowledge and experience of multi-factor </w:t>
            </w:r>
            <w:r w:rsidR="00A638F4">
              <w:rPr>
                <w:color w:val="3D6684"/>
              </w:rPr>
              <w:t xml:space="preserve">risk </w:t>
            </w:r>
            <w:r w:rsidRPr="0099490B">
              <w:rPr>
                <w:color w:val="3D6684"/>
              </w:rPr>
              <w:t>models strongly preferred.</w:t>
            </w:r>
          </w:p>
          <w:p w14:paraId="39D257C5" w14:textId="77777777" w:rsidR="003465AA" w:rsidRPr="0099490B" w:rsidRDefault="003465AA" w:rsidP="003465AA">
            <w:pPr>
              <w:pStyle w:val="ListParagraph"/>
              <w:numPr>
                <w:ilvl w:val="0"/>
                <w:numId w:val="2"/>
              </w:numPr>
              <w:rPr>
                <w:color w:val="3D6684"/>
              </w:rPr>
            </w:pPr>
            <w:r w:rsidRPr="0099490B">
              <w:rPr>
                <w:color w:val="3D6684"/>
              </w:rPr>
              <w:t>Experience applying investment and statistical concepts to analyse portfolios and interpret risk drivers.</w:t>
            </w:r>
          </w:p>
          <w:p w14:paraId="5C69A00C" w14:textId="77777777" w:rsidR="003465AA" w:rsidRPr="0099490B" w:rsidRDefault="003465AA" w:rsidP="003465AA">
            <w:pPr>
              <w:pStyle w:val="ListParagraph"/>
              <w:numPr>
                <w:ilvl w:val="0"/>
                <w:numId w:val="2"/>
              </w:numPr>
              <w:rPr>
                <w:color w:val="3D6684"/>
              </w:rPr>
            </w:pPr>
            <w:r w:rsidRPr="0099490B">
              <w:rPr>
                <w:color w:val="3D6684"/>
              </w:rPr>
              <w:t>Experience with scenario analysis and stress testing.</w:t>
            </w:r>
          </w:p>
          <w:p w14:paraId="053131F8" w14:textId="168684D1" w:rsidR="000C3D65" w:rsidRPr="0099490B" w:rsidRDefault="000C3D65" w:rsidP="000C3D65">
            <w:pPr>
              <w:pStyle w:val="ListParagraph"/>
              <w:numPr>
                <w:ilvl w:val="0"/>
                <w:numId w:val="2"/>
              </w:numPr>
              <w:rPr>
                <w:color w:val="3D6684"/>
              </w:rPr>
            </w:pPr>
            <w:r w:rsidRPr="0099490B">
              <w:rPr>
                <w:color w:val="3D6684"/>
              </w:rPr>
              <w:t>Experience with UCITS and AIFMD products and strong knowledge of those regulations</w:t>
            </w:r>
            <w:r w:rsidR="00A638F4">
              <w:rPr>
                <w:color w:val="3D6684"/>
              </w:rPr>
              <w:t>.</w:t>
            </w:r>
          </w:p>
          <w:p w14:paraId="5DEF8F69" w14:textId="276C60F8" w:rsidR="00C51D8B" w:rsidRPr="000C3D65" w:rsidRDefault="000C3D65" w:rsidP="000C3D65">
            <w:pPr>
              <w:pStyle w:val="ListParagraph"/>
              <w:numPr>
                <w:ilvl w:val="0"/>
                <w:numId w:val="2"/>
              </w:numPr>
              <w:rPr>
                <w:color w:val="3D6684"/>
              </w:rPr>
            </w:pPr>
            <w:r>
              <w:rPr>
                <w:color w:val="3D6684"/>
              </w:rPr>
              <w:t>Proven experience</w:t>
            </w:r>
            <w:r w:rsidR="00C51D8B" w:rsidRPr="000C3D65">
              <w:rPr>
                <w:color w:val="3D6684"/>
              </w:rPr>
              <w:t xml:space="preserve"> </w:t>
            </w:r>
            <w:r>
              <w:rPr>
                <w:color w:val="3D6684"/>
              </w:rPr>
              <w:t xml:space="preserve">with </w:t>
            </w:r>
            <w:r w:rsidRPr="000C3D65">
              <w:rPr>
                <w:color w:val="3D6684"/>
              </w:rPr>
              <w:t>scripting</w:t>
            </w:r>
            <w:r>
              <w:rPr>
                <w:color w:val="3D6684"/>
              </w:rPr>
              <w:t xml:space="preserve"> languages</w:t>
            </w:r>
            <w:r w:rsidRPr="000C3D65">
              <w:rPr>
                <w:color w:val="3D6684"/>
              </w:rPr>
              <w:t xml:space="preserve"> </w:t>
            </w:r>
            <w:r w:rsidR="00C51D8B" w:rsidRPr="000C3D65">
              <w:rPr>
                <w:color w:val="3D6684"/>
              </w:rPr>
              <w:t>(e.g. Python, SQL</w:t>
            </w:r>
            <w:r w:rsidR="008D4120" w:rsidRPr="000C3D65">
              <w:rPr>
                <w:color w:val="3D6684"/>
              </w:rPr>
              <w:t>)</w:t>
            </w:r>
            <w:r w:rsidRPr="000C3D65">
              <w:rPr>
                <w:color w:val="3D6684"/>
              </w:rPr>
              <w:t xml:space="preserve"> and </w:t>
            </w:r>
            <w:r>
              <w:rPr>
                <w:color w:val="3D6684"/>
              </w:rPr>
              <w:t xml:space="preserve">data </w:t>
            </w:r>
            <w:r w:rsidRPr="000C3D65">
              <w:rPr>
                <w:color w:val="3D6684"/>
              </w:rPr>
              <w:t>visualisation</w:t>
            </w:r>
            <w:r>
              <w:rPr>
                <w:color w:val="3D6684"/>
              </w:rPr>
              <w:t xml:space="preserve"> tools</w:t>
            </w:r>
            <w:r w:rsidR="005E72BF" w:rsidRPr="000C3D65">
              <w:rPr>
                <w:color w:val="3D6684"/>
              </w:rPr>
              <w:t xml:space="preserve"> </w:t>
            </w:r>
            <w:r w:rsidR="003D47B2" w:rsidRPr="000C3D65">
              <w:rPr>
                <w:color w:val="3D6684"/>
              </w:rPr>
              <w:t>(e.g. PowerBi</w:t>
            </w:r>
            <w:r w:rsidR="003465AA" w:rsidRPr="000C3D65">
              <w:rPr>
                <w:color w:val="3D6684"/>
              </w:rPr>
              <w:t>).</w:t>
            </w:r>
          </w:p>
          <w:p w14:paraId="1E62CDFA" w14:textId="281FB405" w:rsidR="00713190" w:rsidRDefault="00713190" w:rsidP="00E22F70">
            <w:pPr>
              <w:pStyle w:val="ListParagraph"/>
              <w:numPr>
                <w:ilvl w:val="0"/>
                <w:numId w:val="2"/>
              </w:numPr>
              <w:rPr>
                <w:color w:val="3D6684"/>
              </w:rPr>
            </w:pPr>
            <w:r>
              <w:rPr>
                <w:color w:val="3D6684"/>
              </w:rPr>
              <w:t>Liquidity risk management</w:t>
            </w:r>
            <w:r w:rsidR="001D717E">
              <w:rPr>
                <w:color w:val="3D6684"/>
              </w:rPr>
              <w:t xml:space="preserve"> experience</w:t>
            </w:r>
          </w:p>
          <w:p w14:paraId="15CF5C29" w14:textId="21DE4E04" w:rsidR="00713190" w:rsidRDefault="004139D0" w:rsidP="00E22F70">
            <w:pPr>
              <w:pStyle w:val="ListParagraph"/>
              <w:numPr>
                <w:ilvl w:val="0"/>
                <w:numId w:val="2"/>
              </w:numPr>
              <w:rPr>
                <w:color w:val="3D6684"/>
              </w:rPr>
            </w:pPr>
            <w:r>
              <w:rPr>
                <w:color w:val="3D6684"/>
              </w:rPr>
              <w:t>E</w:t>
            </w:r>
            <w:r w:rsidR="001D717E">
              <w:rPr>
                <w:color w:val="3D6684"/>
              </w:rPr>
              <w:t>xperience</w:t>
            </w:r>
            <w:r>
              <w:rPr>
                <w:color w:val="3D6684"/>
              </w:rPr>
              <w:t xml:space="preserve"> managing </w:t>
            </w:r>
            <w:r w:rsidR="000C3D65">
              <w:rPr>
                <w:color w:val="3D6684"/>
              </w:rPr>
              <w:t xml:space="preserve">climate-related financial risks and broader </w:t>
            </w:r>
            <w:r>
              <w:rPr>
                <w:color w:val="3D6684"/>
              </w:rPr>
              <w:t xml:space="preserve">ESG </w:t>
            </w:r>
            <w:r w:rsidR="000C3D65">
              <w:rPr>
                <w:color w:val="3D6684"/>
              </w:rPr>
              <w:t>risks.</w:t>
            </w:r>
          </w:p>
          <w:p w14:paraId="1BF843E8" w14:textId="7EEC11B2" w:rsidR="00E643D4" w:rsidRPr="00E643D4" w:rsidRDefault="00E643D4" w:rsidP="00E643D4">
            <w:pPr>
              <w:pStyle w:val="ListParagraph"/>
              <w:numPr>
                <w:ilvl w:val="0"/>
                <w:numId w:val="2"/>
              </w:numPr>
              <w:rPr>
                <w:color w:val="3D6684"/>
              </w:rPr>
            </w:pPr>
            <w:r w:rsidRPr="007C2D22">
              <w:rPr>
                <w:color w:val="3D6684"/>
              </w:rPr>
              <w:t xml:space="preserve">Strong understanding </w:t>
            </w:r>
            <w:r>
              <w:rPr>
                <w:color w:val="3D6684"/>
              </w:rPr>
              <w:t>of</w:t>
            </w:r>
            <w:r w:rsidRPr="007C2D22">
              <w:rPr>
                <w:color w:val="3D6684"/>
              </w:rPr>
              <w:t xml:space="preserve"> equity, fixed income, and derivatives products</w:t>
            </w:r>
            <w:r>
              <w:rPr>
                <w:color w:val="3D6684"/>
              </w:rPr>
              <w:t>.</w:t>
            </w:r>
          </w:p>
          <w:p w14:paraId="6A8B77C0" w14:textId="77777777" w:rsidR="003D47B2" w:rsidRPr="00D96E2B" w:rsidRDefault="003D47B2" w:rsidP="00D96E2B">
            <w:pPr>
              <w:rPr>
                <w:color w:val="3D6684"/>
              </w:rPr>
            </w:pPr>
          </w:p>
          <w:p w14:paraId="287FC690" w14:textId="6E081489" w:rsidR="005728A9" w:rsidRPr="00BE4D48" w:rsidRDefault="005728A9" w:rsidP="005728A9">
            <w:pPr>
              <w:rPr>
                <w:b/>
                <w:bCs/>
                <w:color w:val="3D6684"/>
              </w:rPr>
            </w:pPr>
            <w:r w:rsidRPr="00BE4D48">
              <w:rPr>
                <w:b/>
                <w:bCs/>
                <w:color w:val="3D6684"/>
              </w:rPr>
              <w:t>Skills</w:t>
            </w:r>
          </w:p>
          <w:p w14:paraId="7EB2EC5B" w14:textId="77777777" w:rsidR="005728A9" w:rsidRPr="00041E56" w:rsidRDefault="005728A9" w:rsidP="005728A9">
            <w:pPr>
              <w:rPr>
                <w:bCs/>
                <w:color w:val="FFC000" w:themeColor="accent4"/>
              </w:rPr>
            </w:pPr>
          </w:p>
          <w:p w14:paraId="46DBF861" w14:textId="10FB2169" w:rsidR="0099490B" w:rsidRPr="0099490B" w:rsidRDefault="0099490B" w:rsidP="0099490B">
            <w:pPr>
              <w:numPr>
                <w:ilvl w:val="0"/>
                <w:numId w:val="9"/>
              </w:num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cs="Arial"/>
                <w:color w:val="3D6684"/>
              </w:rPr>
            </w:pPr>
            <w:r w:rsidRPr="00376724">
              <w:rPr>
                <w:rFonts w:cs="Arial"/>
                <w:color w:val="3D6684"/>
              </w:rPr>
              <w:t xml:space="preserve">Effective </w:t>
            </w:r>
            <w:r>
              <w:rPr>
                <w:rFonts w:cs="Arial"/>
                <w:color w:val="3D6684"/>
              </w:rPr>
              <w:t>team</w:t>
            </w:r>
            <w:r w:rsidRPr="00376724">
              <w:rPr>
                <w:rFonts w:cs="Arial"/>
                <w:color w:val="3D6684"/>
              </w:rPr>
              <w:t xml:space="preserve"> management </w:t>
            </w:r>
            <w:r>
              <w:rPr>
                <w:rFonts w:cs="Arial"/>
                <w:color w:val="3D6684"/>
              </w:rPr>
              <w:t xml:space="preserve">and leadership </w:t>
            </w:r>
            <w:r w:rsidRPr="00376724">
              <w:rPr>
                <w:rFonts w:cs="Arial"/>
                <w:color w:val="3D6684"/>
              </w:rPr>
              <w:t>skills</w:t>
            </w:r>
          </w:p>
          <w:p w14:paraId="7C04E7D5" w14:textId="00C5FF33" w:rsidR="00331CBC" w:rsidRDefault="00331CBC" w:rsidP="00331CBC">
            <w:pPr>
              <w:numPr>
                <w:ilvl w:val="0"/>
                <w:numId w:val="9"/>
              </w:num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cs="Arial"/>
                <w:color w:val="3D6684"/>
              </w:rPr>
            </w:pPr>
            <w:r w:rsidRPr="00376724">
              <w:rPr>
                <w:rFonts w:cs="Arial"/>
                <w:color w:val="3D6684"/>
              </w:rPr>
              <w:t xml:space="preserve">Highly numerate, </w:t>
            </w:r>
            <w:r>
              <w:rPr>
                <w:rFonts w:cs="Arial"/>
                <w:color w:val="3D6684"/>
              </w:rPr>
              <w:t>strong</w:t>
            </w:r>
            <w:r w:rsidRPr="00376724">
              <w:rPr>
                <w:rFonts w:cs="Arial"/>
                <w:color w:val="3D6684"/>
              </w:rPr>
              <w:t xml:space="preserve"> understanding of mathematical / statistical concepts</w:t>
            </w:r>
          </w:p>
          <w:p w14:paraId="217F2F29" w14:textId="025B7DBF" w:rsidR="00BE4D48" w:rsidRPr="00BE4D48" w:rsidRDefault="00D46506" w:rsidP="00BE4D48">
            <w:pPr>
              <w:numPr>
                <w:ilvl w:val="0"/>
                <w:numId w:val="9"/>
              </w:num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cs="Arial"/>
                <w:color w:val="3D6684"/>
              </w:rPr>
            </w:pPr>
            <w:r>
              <w:rPr>
                <w:rFonts w:cs="Arial"/>
                <w:color w:val="3D6684"/>
              </w:rPr>
              <w:t>Able to b</w:t>
            </w:r>
            <w:r w:rsidR="00BE4D48">
              <w:rPr>
                <w:rFonts w:cs="Arial"/>
                <w:color w:val="3D6684"/>
              </w:rPr>
              <w:t>reak down technical concept into simple, everyday language</w:t>
            </w:r>
          </w:p>
          <w:p w14:paraId="7150B44B" w14:textId="755C9674" w:rsidR="009F6EBF" w:rsidRPr="00B74066" w:rsidRDefault="00756C4A" w:rsidP="009F6EBF">
            <w:pPr>
              <w:numPr>
                <w:ilvl w:val="0"/>
                <w:numId w:val="9"/>
              </w:num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cs="Arial"/>
                <w:color w:val="3D6684"/>
              </w:rPr>
            </w:pPr>
            <w:r>
              <w:rPr>
                <w:rFonts w:cs="Arial"/>
                <w:color w:val="3D6684"/>
              </w:rPr>
              <w:t>Excellent</w:t>
            </w:r>
            <w:r w:rsidR="009F6EBF" w:rsidRPr="00B74066">
              <w:rPr>
                <w:rFonts w:cs="Arial"/>
                <w:color w:val="3D6684"/>
              </w:rPr>
              <w:t xml:space="preserve"> relationship management and communication skills - written and spoken </w:t>
            </w:r>
          </w:p>
          <w:p w14:paraId="40219516" w14:textId="77777777" w:rsidR="009F6EBF" w:rsidRPr="00B74066" w:rsidRDefault="009F6EBF" w:rsidP="009F6EBF">
            <w:pPr>
              <w:numPr>
                <w:ilvl w:val="0"/>
                <w:numId w:val="9"/>
              </w:num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cs="Arial"/>
                <w:color w:val="3D6684"/>
              </w:rPr>
            </w:pPr>
            <w:r w:rsidRPr="00B74066">
              <w:rPr>
                <w:rFonts w:cs="Arial"/>
                <w:color w:val="3D6684"/>
              </w:rPr>
              <w:t>Ability to challenge constructively</w:t>
            </w:r>
          </w:p>
          <w:p w14:paraId="0F1D5D2D" w14:textId="77777777" w:rsidR="009F6EBF" w:rsidRDefault="009F6EBF" w:rsidP="009F6EBF">
            <w:pPr>
              <w:numPr>
                <w:ilvl w:val="0"/>
                <w:numId w:val="9"/>
              </w:num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cs="Arial"/>
                <w:color w:val="3D6684"/>
              </w:rPr>
            </w:pPr>
            <w:r w:rsidRPr="00B74066">
              <w:rPr>
                <w:rFonts w:cs="Arial"/>
                <w:color w:val="3D6684"/>
              </w:rPr>
              <w:t>Time management, organisation skills and multi-tasking.</w:t>
            </w:r>
          </w:p>
          <w:p w14:paraId="0374E8E2" w14:textId="14C2D418" w:rsidR="009F6EBF" w:rsidRPr="0099490B" w:rsidRDefault="009F6EBF" w:rsidP="00877802">
            <w:pPr>
              <w:numPr>
                <w:ilvl w:val="0"/>
                <w:numId w:val="9"/>
              </w:num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cs="Arial"/>
                <w:color w:val="3D6684"/>
              </w:rPr>
            </w:pPr>
            <w:r w:rsidRPr="0099490B">
              <w:rPr>
                <w:rFonts w:cs="Arial"/>
                <w:color w:val="3D6684"/>
              </w:rPr>
              <w:lastRenderedPageBreak/>
              <w:t>Strong analytical skills</w:t>
            </w:r>
            <w:r w:rsidR="0099490B">
              <w:rPr>
                <w:rFonts w:cs="Arial"/>
                <w:color w:val="3D6684"/>
              </w:rPr>
              <w:t xml:space="preserve"> and p</w:t>
            </w:r>
            <w:r w:rsidRPr="0099490B">
              <w:rPr>
                <w:rFonts w:cs="Arial"/>
                <w:color w:val="3D6684"/>
              </w:rPr>
              <w:t>rogramming skills</w:t>
            </w:r>
          </w:p>
          <w:p w14:paraId="7CEF4185" w14:textId="77777777" w:rsidR="009F6EBF" w:rsidRPr="00B74066" w:rsidRDefault="009F6EBF" w:rsidP="00464932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cs="Arial"/>
                <w:color w:val="3D6684"/>
              </w:rPr>
            </w:pPr>
          </w:p>
          <w:p w14:paraId="2DC6125E" w14:textId="4BC7909D" w:rsidR="005728A9" w:rsidRPr="0084686F" w:rsidRDefault="005728A9" w:rsidP="005728A9">
            <w:pPr>
              <w:rPr>
                <w:b/>
                <w:bCs/>
                <w:color w:val="3D6684"/>
              </w:rPr>
            </w:pPr>
            <w:r w:rsidRPr="0084686F">
              <w:rPr>
                <w:b/>
                <w:bCs/>
                <w:color w:val="3D6684"/>
              </w:rPr>
              <w:t>Personal Qualities</w:t>
            </w:r>
          </w:p>
          <w:p w14:paraId="6A21CC01" w14:textId="77777777" w:rsidR="005728A9" w:rsidRPr="00041E56" w:rsidRDefault="005728A9" w:rsidP="005728A9">
            <w:pPr>
              <w:rPr>
                <w:bCs/>
                <w:color w:val="FFC000" w:themeColor="accent4"/>
              </w:rPr>
            </w:pPr>
          </w:p>
          <w:p w14:paraId="3C4E6B71" w14:textId="77777777" w:rsidR="0020235B" w:rsidRPr="00B74066" w:rsidRDefault="0020235B" w:rsidP="0020235B">
            <w:pPr>
              <w:numPr>
                <w:ilvl w:val="0"/>
                <w:numId w:val="9"/>
              </w:num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cs="Arial"/>
                <w:color w:val="3D6684"/>
              </w:rPr>
            </w:pPr>
            <w:r w:rsidRPr="00B74066">
              <w:rPr>
                <w:rFonts w:cs="Arial"/>
                <w:color w:val="3D6684"/>
              </w:rPr>
              <w:t xml:space="preserve">Client focussed attitude </w:t>
            </w:r>
          </w:p>
          <w:p w14:paraId="3CABDFBC" w14:textId="77777777" w:rsidR="0020235B" w:rsidRDefault="0020235B" w:rsidP="0020235B">
            <w:pPr>
              <w:numPr>
                <w:ilvl w:val="0"/>
                <w:numId w:val="9"/>
              </w:num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cs="Arial"/>
                <w:color w:val="3D6684"/>
              </w:rPr>
            </w:pPr>
            <w:r w:rsidRPr="006815B7">
              <w:rPr>
                <w:rFonts w:cs="Arial"/>
                <w:color w:val="3D6684"/>
              </w:rPr>
              <w:t>High attention to details and</w:t>
            </w:r>
            <w:r>
              <w:rPr>
                <w:rFonts w:cs="Arial"/>
                <w:color w:val="3D6684"/>
              </w:rPr>
              <w:t xml:space="preserve"> </w:t>
            </w:r>
            <w:r w:rsidRPr="006815B7">
              <w:rPr>
                <w:rFonts w:cs="Arial"/>
                <w:color w:val="3D6684"/>
              </w:rPr>
              <w:t>standards of work quality and integrity.</w:t>
            </w:r>
          </w:p>
          <w:p w14:paraId="27475350" w14:textId="0A7DD3E9" w:rsidR="003351B1" w:rsidRDefault="00077C4A" w:rsidP="003351B1">
            <w:pPr>
              <w:pStyle w:val="ListParagraph"/>
              <w:numPr>
                <w:ilvl w:val="0"/>
                <w:numId w:val="2"/>
              </w:numPr>
              <w:rPr>
                <w:rFonts w:cs="Arial"/>
                <w:color w:val="3D6684"/>
              </w:rPr>
            </w:pPr>
            <w:r w:rsidRPr="00077C4A">
              <w:rPr>
                <w:rFonts w:cs="Arial"/>
                <w:color w:val="3D6684"/>
              </w:rPr>
              <w:t>Possess high degree of initiativ</w:t>
            </w:r>
            <w:r w:rsidR="003351B1">
              <w:rPr>
                <w:rFonts w:cs="Arial"/>
                <w:color w:val="3D6684"/>
              </w:rPr>
              <w:t>e</w:t>
            </w:r>
            <w:r w:rsidRPr="00077C4A">
              <w:rPr>
                <w:rFonts w:cs="Arial"/>
                <w:color w:val="3D6684"/>
              </w:rPr>
              <w:t>, and an open inquisitive mind</w:t>
            </w:r>
            <w:r w:rsidR="00A17D77">
              <w:rPr>
                <w:rFonts w:cs="Arial"/>
                <w:color w:val="3D6684"/>
              </w:rPr>
              <w:t>.</w:t>
            </w:r>
          </w:p>
          <w:p w14:paraId="6F3C22C4" w14:textId="1B832994" w:rsidR="0071309A" w:rsidRDefault="0071309A" w:rsidP="003351B1">
            <w:pPr>
              <w:pStyle w:val="ListParagraph"/>
              <w:numPr>
                <w:ilvl w:val="0"/>
                <w:numId w:val="2"/>
              </w:numPr>
              <w:rPr>
                <w:rFonts w:cs="Arial"/>
                <w:color w:val="3D6684"/>
              </w:rPr>
            </w:pPr>
            <w:r>
              <w:rPr>
                <w:rFonts w:cs="Arial"/>
                <w:color w:val="3D6684"/>
              </w:rPr>
              <w:t>Effective collaboration and stakeholder management</w:t>
            </w:r>
            <w:r w:rsidR="00A96C1B">
              <w:rPr>
                <w:rFonts w:cs="Arial"/>
                <w:color w:val="3D6684"/>
              </w:rPr>
              <w:t>.</w:t>
            </w:r>
          </w:p>
          <w:p w14:paraId="373C10B9" w14:textId="4144C34C" w:rsidR="00201CE7" w:rsidRPr="00201CE7" w:rsidRDefault="00201CE7" w:rsidP="00201CE7">
            <w:pPr>
              <w:pStyle w:val="ListParagraph"/>
              <w:numPr>
                <w:ilvl w:val="0"/>
                <w:numId w:val="2"/>
              </w:numPr>
              <w:rPr>
                <w:rFonts w:cs="Arial"/>
                <w:color w:val="3D6684"/>
              </w:rPr>
            </w:pPr>
            <w:r w:rsidRPr="00201CE7">
              <w:rPr>
                <w:rFonts w:cs="Arial"/>
                <w:color w:val="3D6684"/>
              </w:rPr>
              <w:t>Intellectually curious, commitment to continuous learning.</w:t>
            </w:r>
          </w:p>
          <w:p w14:paraId="203C3E0A" w14:textId="2A4E8524" w:rsidR="005728A9" w:rsidRPr="004204C6" w:rsidRDefault="005728A9" w:rsidP="00201CE7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cs="Arial"/>
                <w:color w:val="3D6684"/>
              </w:rPr>
            </w:pPr>
            <w:r w:rsidRPr="00201CE7">
              <w:rPr>
                <w:rFonts w:cs="Arial"/>
                <w:color w:val="3D6684"/>
              </w:rPr>
              <w:t xml:space="preserve">Ability to work in a dynamic business and on </w:t>
            </w:r>
            <w:r w:rsidR="0099490B" w:rsidRPr="00201CE7">
              <w:rPr>
                <w:rFonts w:cs="Arial"/>
                <w:color w:val="3D6684"/>
              </w:rPr>
              <w:t>several</w:t>
            </w:r>
            <w:r w:rsidRPr="00201CE7">
              <w:rPr>
                <w:rFonts w:cs="Arial"/>
                <w:color w:val="3D6684"/>
              </w:rPr>
              <w:t xml:space="preserve"> projects simultaneously</w:t>
            </w:r>
          </w:p>
          <w:p w14:paraId="69FA36D4" w14:textId="77777777" w:rsidR="004204C6" w:rsidRPr="00B74066" w:rsidRDefault="004204C6" w:rsidP="004204C6">
            <w:pPr>
              <w:numPr>
                <w:ilvl w:val="0"/>
                <w:numId w:val="9"/>
              </w:num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cs="Arial"/>
                <w:color w:val="3D6684"/>
              </w:rPr>
            </w:pPr>
            <w:r>
              <w:rPr>
                <w:rFonts w:cs="Arial"/>
                <w:color w:val="3D6684"/>
              </w:rPr>
              <w:t>Resilient and c</w:t>
            </w:r>
            <w:r w:rsidRPr="00B74066">
              <w:rPr>
                <w:rFonts w:cs="Arial"/>
                <w:color w:val="3D6684"/>
              </w:rPr>
              <w:t>apable of performing effectively under pressure.</w:t>
            </w:r>
          </w:p>
          <w:p w14:paraId="4E7050D7" w14:textId="77777777" w:rsidR="00D46506" w:rsidRPr="00201CE7" w:rsidRDefault="00D46506" w:rsidP="00D46506">
            <w:pPr>
              <w:pStyle w:val="ListParagraph"/>
              <w:numPr>
                <w:ilvl w:val="0"/>
                <w:numId w:val="2"/>
              </w:numPr>
              <w:rPr>
                <w:rFonts w:cs="Arial"/>
                <w:color w:val="3D6684"/>
              </w:rPr>
            </w:pPr>
            <w:r w:rsidRPr="00201CE7">
              <w:rPr>
                <w:rFonts w:cs="Arial"/>
                <w:color w:val="3D6684"/>
              </w:rPr>
              <w:t>Fast learner, ability to understand complex issues quickly and to come up with effective solutions to solve them.</w:t>
            </w:r>
          </w:p>
          <w:p w14:paraId="7C9AAAA4" w14:textId="0C96BC1E" w:rsidR="0020235B" w:rsidRPr="0020235B" w:rsidRDefault="005728A9" w:rsidP="001B65E1">
            <w:pPr>
              <w:pStyle w:val="ListParagraph"/>
              <w:numPr>
                <w:ilvl w:val="0"/>
                <w:numId w:val="2"/>
              </w:numPr>
              <w:rPr>
                <w:bCs/>
                <w:color w:val="3D6684"/>
              </w:rPr>
            </w:pPr>
            <w:r w:rsidRPr="00201CE7">
              <w:rPr>
                <w:rFonts w:cs="Arial"/>
                <w:color w:val="3D6684"/>
              </w:rPr>
              <w:t>Strong interest into Sustainability/ES</w:t>
            </w:r>
            <w:r w:rsidR="001B65E1">
              <w:rPr>
                <w:rFonts w:cs="Arial"/>
                <w:color w:val="3D6684"/>
              </w:rPr>
              <w:t>G</w:t>
            </w:r>
            <w:r w:rsidR="00582E86">
              <w:rPr>
                <w:rFonts w:cs="Arial"/>
                <w:color w:val="3D6684"/>
              </w:rPr>
              <w:t>.</w:t>
            </w:r>
          </w:p>
        </w:tc>
      </w:tr>
    </w:tbl>
    <w:p w14:paraId="1F951D6A" w14:textId="682DA40C" w:rsidR="00075B77" w:rsidRPr="00DC4F3E" w:rsidRDefault="00075B77" w:rsidP="00075B77">
      <w:pPr>
        <w:spacing w:line="256" w:lineRule="auto"/>
        <w:rPr>
          <w:rFonts w:ascii="Arial" w:eastAsia="Times New Roman" w:hAnsi="Arial" w:cs="Times New Roman"/>
          <w:bCs/>
          <w:color w:val="3C6683"/>
        </w:rPr>
      </w:pPr>
    </w:p>
    <w:tbl>
      <w:tblPr>
        <w:tblStyle w:val="TableGrid"/>
        <w:tblpPr w:leftFromText="180" w:rightFromText="180" w:vertAnchor="text" w:horzAnchor="margin" w:tblpY="222"/>
        <w:tblW w:w="9062" w:type="dxa"/>
        <w:tblInd w:w="0" w:type="dxa"/>
        <w:tblBorders>
          <w:top w:val="single" w:sz="4" w:space="0" w:color="FFFFFF" w:themeColor="background1"/>
          <w:left w:val="single" w:sz="4" w:space="0" w:color="FFFFFF" w:themeColor="background1" w:shadow="1" w:frame="1"/>
          <w:bottom w:val="single" w:sz="4" w:space="0" w:color="FFFFFF" w:themeColor="background1" w:shadow="1" w:frame="1"/>
          <w:right w:val="single" w:sz="4" w:space="0" w:color="FFFFFF" w:themeColor="background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1"/>
        <w:gridCol w:w="5811"/>
      </w:tblGrid>
      <w:tr w:rsidR="00075B77" w:rsidRPr="000A71F8" w14:paraId="75EFEF27" w14:textId="77777777" w:rsidTr="002C0759">
        <w:trPr>
          <w:trHeight w:val="264"/>
        </w:trPr>
        <w:tc>
          <w:tcPr>
            <w:tcW w:w="3251" w:type="dxa"/>
            <w:tcBorders>
              <w:top w:val="single" w:sz="4" w:space="0" w:color="auto"/>
              <w:bottom w:val="single" w:sz="4" w:space="0" w:color="auto"/>
            </w:tcBorders>
            <w:shd w:val="clear" w:color="auto" w:fill="96B9B3"/>
            <w:hideMark/>
          </w:tcPr>
          <w:p w14:paraId="66E5E640" w14:textId="77777777" w:rsidR="00075B77" w:rsidRPr="000A71F8" w:rsidRDefault="00075B77" w:rsidP="002C0759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Certified Person: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14:paraId="06B315E8" w14:textId="77777777" w:rsidR="00075B77" w:rsidRDefault="00063984" w:rsidP="00063984">
            <w:pPr>
              <w:rPr>
                <w:b/>
                <w:bCs/>
                <w:color w:val="3D6684"/>
              </w:rPr>
            </w:pPr>
            <w:r>
              <w:rPr>
                <w:b/>
                <w:bCs/>
                <w:color w:val="3D6684"/>
              </w:rPr>
              <w:t>No</w:t>
            </w:r>
          </w:p>
          <w:p w14:paraId="67B716BB" w14:textId="7DD8F16E" w:rsidR="00063984" w:rsidRPr="00826AFF" w:rsidRDefault="00063984" w:rsidP="00063984">
            <w:pPr>
              <w:rPr>
                <w:b/>
                <w:bCs/>
                <w:color w:val="3D6684"/>
              </w:rPr>
            </w:pPr>
          </w:p>
        </w:tc>
      </w:tr>
      <w:tr w:rsidR="00075B77" w:rsidRPr="000A71F8" w14:paraId="2C5E6328" w14:textId="77777777" w:rsidTr="002C0759">
        <w:trPr>
          <w:trHeight w:val="248"/>
        </w:trPr>
        <w:tc>
          <w:tcPr>
            <w:tcW w:w="3251" w:type="dxa"/>
            <w:tcBorders>
              <w:top w:val="single" w:sz="4" w:space="0" w:color="auto"/>
              <w:bottom w:val="single" w:sz="4" w:space="0" w:color="auto"/>
            </w:tcBorders>
            <w:shd w:val="clear" w:color="auto" w:fill="96B9B3"/>
            <w:hideMark/>
          </w:tcPr>
          <w:p w14:paraId="10B6A89A" w14:textId="77777777" w:rsidR="00075B77" w:rsidRDefault="00075B77" w:rsidP="002C0759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Level of Authorisation held</w:t>
            </w:r>
          </w:p>
          <w:p w14:paraId="4A6ED21E" w14:textId="77777777" w:rsidR="00075B77" w:rsidRDefault="00075B77" w:rsidP="002C0759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(ie payment authoriser)</w:t>
            </w:r>
          </w:p>
          <w:p w14:paraId="187FAF41" w14:textId="77777777" w:rsidR="00075B77" w:rsidRPr="000A71F8" w:rsidRDefault="00075B77" w:rsidP="002C0759">
            <w:pPr>
              <w:rPr>
                <w:b/>
                <w:bCs/>
                <w:color w:val="FFFFFF"/>
              </w:rPr>
            </w:pP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14:paraId="757308BB" w14:textId="4B423683" w:rsidR="00075B77" w:rsidRPr="00826AFF" w:rsidRDefault="00611B23" w:rsidP="002C0759">
            <w:pPr>
              <w:rPr>
                <w:b/>
                <w:bCs/>
                <w:color w:val="3D6684"/>
              </w:rPr>
            </w:pPr>
            <w:r>
              <w:rPr>
                <w:b/>
                <w:bCs/>
                <w:color w:val="3D6684"/>
              </w:rPr>
              <w:t>N/A</w:t>
            </w:r>
          </w:p>
          <w:p w14:paraId="5922F002" w14:textId="77777777" w:rsidR="00075B77" w:rsidRPr="00826AFF" w:rsidRDefault="00075B77" w:rsidP="002C0759">
            <w:pPr>
              <w:rPr>
                <w:b/>
                <w:bCs/>
                <w:color w:val="3D6684"/>
              </w:rPr>
            </w:pPr>
          </w:p>
        </w:tc>
      </w:tr>
      <w:tr w:rsidR="00075B77" w:rsidRPr="000A71F8" w14:paraId="5A5AA811" w14:textId="77777777" w:rsidTr="002C0759">
        <w:trPr>
          <w:trHeight w:val="248"/>
        </w:trPr>
        <w:tc>
          <w:tcPr>
            <w:tcW w:w="3251" w:type="dxa"/>
            <w:tcBorders>
              <w:top w:val="single" w:sz="4" w:space="0" w:color="auto"/>
              <w:bottom w:val="single" w:sz="4" w:space="0" w:color="auto"/>
            </w:tcBorders>
            <w:shd w:val="clear" w:color="auto" w:fill="96B9B3"/>
            <w:hideMark/>
          </w:tcPr>
          <w:p w14:paraId="3C0EB49F" w14:textId="77777777" w:rsidR="00075B77" w:rsidRPr="000A71F8" w:rsidRDefault="00075B77" w:rsidP="002C0759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Bank Signatory?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14:paraId="1B340F5B" w14:textId="59B00A6A" w:rsidR="00075B77" w:rsidRPr="00826AFF" w:rsidRDefault="00BF34D2" w:rsidP="002C0759">
            <w:pPr>
              <w:rPr>
                <w:b/>
                <w:bCs/>
                <w:color w:val="3D6684"/>
              </w:rPr>
            </w:pPr>
            <w:r>
              <w:rPr>
                <w:b/>
                <w:bCs/>
                <w:color w:val="3D6684"/>
              </w:rPr>
              <w:t>N/A</w:t>
            </w:r>
          </w:p>
          <w:p w14:paraId="373DD67F" w14:textId="77777777" w:rsidR="00075B77" w:rsidRPr="00826AFF" w:rsidRDefault="00075B77" w:rsidP="002C0759">
            <w:pPr>
              <w:rPr>
                <w:b/>
                <w:bCs/>
                <w:color w:val="3D6684"/>
              </w:rPr>
            </w:pPr>
          </w:p>
        </w:tc>
      </w:tr>
      <w:tr w:rsidR="00075B77" w:rsidRPr="000A71F8" w14:paraId="624AD857" w14:textId="77777777" w:rsidTr="002C0759">
        <w:trPr>
          <w:trHeight w:val="248"/>
        </w:trPr>
        <w:tc>
          <w:tcPr>
            <w:tcW w:w="3251" w:type="dxa"/>
            <w:tcBorders>
              <w:top w:val="single" w:sz="4" w:space="0" w:color="auto"/>
              <w:bottom w:val="single" w:sz="4" w:space="0" w:color="auto"/>
            </w:tcBorders>
            <w:shd w:val="clear" w:color="auto" w:fill="96B9B3"/>
          </w:tcPr>
          <w:p w14:paraId="62EE7D86" w14:textId="77777777" w:rsidR="00075B77" w:rsidRDefault="00075B77" w:rsidP="002C0759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Level of Responsibility</w:t>
            </w:r>
          </w:p>
          <w:p w14:paraId="7252665A" w14:textId="77777777" w:rsidR="00075B77" w:rsidRDefault="00075B77" w:rsidP="002C0759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(ie Department Manager)</w:t>
            </w:r>
          </w:p>
          <w:p w14:paraId="5E2D8161" w14:textId="77777777" w:rsidR="00075B77" w:rsidRDefault="00075B77" w:rsidP="002C0759">
            <w:pPr>
              <w:rPr>
                <w:b/>
                <w:bCs/>
                <w:color w:val="FFFFFF"/>
              </w:rPr>
            </w:pP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14:paraId="12C95BA7" w14:textId="688EB4BD" w:rsidR="00075B77" w:rsidRPr="00826AFF" w:rsidRDefault="00BF1490" w:rsidP="002C0759">
            <w:pPr>
              <w:rPr>
                <w:b/>
                <w:bCs/>
                <w:color w:val="3D6684"/>
              </w:rPr>
            </w:pPr>
            <w:r w:rsidRPr="00826AFF">
              <w:rPr>
                <w:b/>
                <w:bCs/>
                <w:color w:val="3D6684"/>
              </w:rPr>
              <w:t>N/A</w:t>
            </w:r>
          </w:p>
          <w:p w14:paraId="51CDE158" w14:textId="77777777" w:rsidR="00075B77" w:rsidRPr="00826AFF" w:rsidRDefault="00075B77" w:rsidP="002C0759">
            <w:pPr>
              <w:rPr>
                <w:b/>
                <w:bCs/>
                <w:color w:val="3D6684"/>
              </w:rPr>
            </w:pPr>
          </w:p>
        </w:tc>
      </w:tr>
    </w:tbl>
    <w:p w14:paraId="67FDE430" w14:textId="77777777" w:rsidR="00075B77" w:rsidRDefault="00075B77" w:rsidP="00075B77"/>
    <w:p w14:paraId="1227F23D" w14:textId="77777777" w:rsidR="00D93D0E" w:rsidRPr="002E2754" w:rsidRDefault="00D93D0E" w:rsidP="00D3073A"/>
    <w:sectPr w:rsidR="00D93D0E" w:rsidRPr="002E2754" w:rsidSect="00FA4F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E9179" w14:textId="77777777" w:rsidR="004E2920" w:rsidRDefault="004E2920" w:rsidP="00D619D4">
      <w:pPr>
        <w:spacing w:after="0" w:line="240" w:lineRule="auto"/>
      </w:pPr>
      <w:r>
        <w:separator/>
      </w:r>
    </w:p>
  </w:endnote>
  <w:endnote w:type="continuationSeparator" w:id="0">
    <w:p w14:paraId="5DCFE1E5" w14:textId="77777777" w:rsidR="004E2920" w:rsidRDefault="004E2920" w:rsidP="00D61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AB804" w14:textId="77777777" w:rsidR="00FA4FBF" w:rsidRDefault="00FA4F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14652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DA0994" w14:textId="1F791141" w:rsidR="00FA4FBF" w:rsidRDefault="00FA4FB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2E2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8E7E320" w14:textId="77777777" w:rsidR="00FA4FBF" w:rsidRDefault="00FA4F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9750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4F56D33" w14:textId="76F6AFF3" w:rsidR="00FA4FBF" w:rsidRDefault="00FA4FBF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FA4FBF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B2F5659" w14:textId="77777777" w:rsidR="009E2299" w:rsidRDefault="009E22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CA340" w14:textId="77777777" w:rsidR="004E2920" w:rsidRDefault="004E2920" w:rsidP="00D619D4">
      <w:pPr>
        <w:spacing w:after="0" w:line="240" w:lineRule="auto"/>
      </w:pPr>
      <w:r>
        <w:separator/>
      </w:r>
    </w:p>
  </w:footnote>
  <w:footnote w:type="continuationSeparator" w:id="0">
    <w:p w14:paraId="428A60ED" w14:textId="77777777" w:rsidR="004E2920" w:rsidRDefault="004E2920" w:rsidP="00D61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79ADD" w14:textId="77777777" w:rsidR="00FA4FBF" w:rsidRDefault="00FA4F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32D7E" w14:textId="77777777" w:rsidR="00D619D4" w:rsidRDefault="00D619D4" w:rsidP="00D619D4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19154" w14:textId="77777777" w:rsidR="0032524C" w:rsidRDefault="0032524C" w:rsidP="0032524C">
    <w:pPr>
      <w:pStyle w:val="Header"/>
      <w:jc w:val="right"/>
    </w:pPr>
    <w:r w:rsidRPr="009A1AAE">
      <w:rPr>
        <w:rFonts w:ascii="Comic Sans MS" w:hAnsi="Comic Sans MS"/>
        <w:noProof/>
        <w:color w:val="000000"/>
        <w:sz w:val="20"/>
        <w:lang w:eastAsia="en-GB"/>
      </w:rPr>
      <w:drawing>
        <wp:inline distT="0" distB="0" distL="0" distR="0" wp14:anchorId="0E9AC285" wp14:editId="6225315F">
          <wp:extent cx="1047750" cy="485775"/>
          <wp:effectExtent l="0" t="0" r="0" b="0"/>
          <wp:docPr id="2" name="Picture 2" descr="New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D7C23"/>
    <w:multiLevelType w:val="hybridMultilevel"/>
    <w:tmpl w:val="5FB87F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155656"/>
    <w:multiLevelType w:val="hybridMultilevel"/>
    <w:tmpl w:val="EE6405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A47F80"/>
    <w:multiLevelType w:val="hybridMultilevel"/>
    <w:tmpl w:val="5A76CB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F401C2"/>
    <w:multiLevelType w:val="hybridMultilevel"/>
    <w:tmpl w:val="44A496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7847C1"/>
    <w:multiLevelType w:val="hybridMultilevel"/>
    <w:tmpl w:val="47FAA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453D8C"/>
    <w:multiLevelType w:val="hybridMultilevel"/>
    <w:tmpl w:val="001466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FC16E8">
      <w:numFmt w:val="bullet"/>
      <w:lvlText w:val="-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50FCB"/>
    <w:multiLevelType w:val="hybridMultilevel"/>
    <w:tmpl w:val="28E41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C926FF"/>
    <w:multiLevelType w:val="hybridMultilevel"/>
    <w:tmpl w:val="62AE4208"/>
    <w:lvl w:ilvl="0" w:tplc="31D62A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6F3EA4"/>
    <w:multiLevelType w:val="hybridMultilevel"/>
    <w:tmpl w:val="92B22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806161">
    <w:abstractNumId w:val="5"/>
  </w:num>
  <w:num w:numId="2" w16cid:durableId="789981550">
    <w:abstractNumId w:val="1"/>
  </w:num>
  <w:num w:numId="3" w16cid:durableId="591158819">
    <w:abstractNumId w:val="7"/>
  </w:num>
  <w:num w:numId="4" w16cid:durableId="1171603372">
    <w:abstractNumId w:val="0"/>
  </w:num>
  <w:num w:numId="5" w16cid:durableId="964115043">
    <w:abstractNumId w:val="8"/>
  </w:num>
  <w:num w:numId="6" w16cid:durableId="2127774403">
    <w:abstractNumId w:val="4"/>
  </w:num>
  <w:num w:numId="7" w16cid:durableId="1676613145">
    <w:abstractNumId w:val="3"/>
  </w:num>
  <w:num w:numId="8" w16cid:durableId="70658935">
    <w:abstractNumId w:val="2"/>
  </w:num>
  <w:num w:numId="9" w16cid:durableId="3474848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1F8"/>
    <w:rsid w:val="0000144C"/>
    <w:rsid w:val="00006AA0"/>
    <w:rsid w:val="000077D5"/>
    <w:rsid w:val="0001106F"/>
    <w:rsid w:val="00011A8B"/>
    <w:rsid w:val="00011F64"/>
    <w:rsid w:val="000139A4"/>
    <w:rsid w:val="000145D4"/>
    <w:rsid w:val="000200AB"/>
    <w:rsid w:val="000279F4"/>
    <w:rsid w:val="00035125"/>
    <w:rsid w:val="0003534A"/>
    <w:rsid w:val="00041E56"/>
    <w:rsid w:val="00041EB0"/>
    <w:rsid w:val="00063984"/>
    <w:rsid w:val="00064D71"/>
    <w:rsid w:val="00067F4C"/>
    <w:rsid w:val="0007181F"/>
    <w:rsid w:val="00075B77"/>
    <w:rsid w:val="00077C4A"/>
    <w:rsid w:val="00080F18"/>
    <w:rsid w:val="000925CA"/>
    <w:rsid w:val="000A0A05"/>
    <w:rsid w:val="000A4115"/>
    <w:rsid w:val="000A71F8"/>
    <w:rsid w:val="000C3887"/>
    <w:rsid w:val="000C3D11"/>
    <w:rsid w:val="000C3D65"/>
    <w:rsid w:val="000D56E1"/>
    <w:rsid w:val="000D76E4"/>
    <w:rsid w:val="000D7E27"/>
    <w:rsid w:val="000E1C53"/>
    <w:rsid w:val="000F2ADE"/>
    <w:rsid w:val="00117CA2"/>
    <w:rsid w:val="00117E21"/>
    <w:rsid w:val="00133055"/>
    <w:rsid w:val="00133DB3"/>
    <w:rsid w:val="001401C0"/>
    <w:rsid w:val="00140E14"/>
    <w:rsid w:val="00165DFB"/>
    <w:rsid w:val="001661D7"/>
    <w:rsid w:val="0018578C"/>
    <w:rsid w:val="00194191"/>
    <w:rsid w:val="00195295"/>
    <w:rsid w:val="001B2352"/>
    <w:rsid w:val="001B65E1"/>
    <w:rsid w:val="001C7462"/>
    <w:rsid w:val="001C7D96"/>
    <w:rsid w:val="001D0A01"/>
    <w:rsid w:val="001D717E"/>
    <w:rsid w:val="001E2A2B"/>
    <w:rsid w:val="001E41C9"/>
    <w:rsid w:val="00201CE7"/>
    <w:rsid w:val="0020235B"/>
    <w:rsid w:val="002063C0"/>
    <w:rsid w:val="00217CFC"/>
    <w:rsid w:val="002205DE"/>
    <w:rsid w:val="002413D6"/>
    <w:rsid w:val="0024522B"/>
    <w:rsid w:val="00245A4C"/>
    <w:rsid w:val="00252483"/>
    <w:rsid w:val="00256B48"/>
    <w:rsid w:val="002608CA"/>
    <w:rsid w:val="00263982"/>
    <w:rsid w:val="00272D6E"/>
    <w:rsid w:val="00273216"/>
    <w:rsid w:val="00282B5B"/>
    <w:rsid w:val="002832F8"/>
    <w:rsid w:val="00287EA3"/>
    <w:rsid w:val="00290BBC"/>
    <w:rsid w:val="00293CCF"/>
    <w:rsid w:val="002948C2"/>
    <w:rsid w:val="002A1783"/>
    <w:rsid w:val="002A3368"/>
    <w:rsid w:val="002A5270"/>
    <w:rsid w:val="002A5BA3"/>
    <w:rsid w:val="002B2B35"/>
    <w:rsid w:val="002B3DF8"/>
    <w:rsid w:val="002B708A"/>
    <w:rsid w:val="002D05D4"/>
    <w:rsid w:val="002D3D06"/>
    <w:rsid w:val="002E2754"/>
    <w:rsid w:val="002F45F8"/>
    <w:rsid w:val="00315C42"/>
    <w:rsid w:val="0032524C"/>
    <w:rsid w:val="00331319"/>
    <w:rsid w:val="00331CBC"/>
    <w:rsid w:val="003351B1"/>
    <w:rsid w:val="00341C3E"/>
    <w:rsid w:val="00343CD8"/>
    <w:rsid w:val="003465AA"/>
    <w:rsid w:val="0035262D"/>
    <w:rsid w:val="00365459"/>
    <w:rsid w:val="00370CDD"/>
    <w:rsid w:val="00374F58"/>
    <w:rsid w:val="003777B8"/>
    <w:rsid w:val="003935A7"/>
    <w:rsid w:val="0039722E"/>
    <w:rsid w:val="003A7D77"/>
    <w:rsid w:val="003A7EF4"/>
    <w:rsid w:val="003C6FF2"/>
    <w:rsid w:val="003D20C2"/>
    <w:rsid w:val="003D47B2"/>
    <w:rsid w:val="003E35F0"/>
    <w:rsid w:val="004139D0"/>
    <w:rsid w:val="004164BB"/>
    <w:rsid w:val="004204C6"/>
    <w:rsid w:val="00430718"/>
    <w:rsid w:val="00430DCF"/>
    <w:rsid w:val="004431F5"/>
    <w:rsid w:val="004454C9"/>
    <w:rsid w:val="00457673"/>
    <w:rsid w:val="00464932"/>
    <w:rsid w:val="00467C28"/>
    <w:rsid w:val="004711A2"/>
    <w:rsid w:val="00471321"/>
    <w:rsid w:val="004A074A"/>
    <w:rsid w:val="004A339E"/>
    <w:rsid w:val="004B3B71"/>
    <w:rsid w:val="004B4485"/>
    <w:rsid w:val="004B459C"/>
    <w:rsid w:val="004B464B"/>
    <w:rsid w:val="004C169F"/>
    <w:rsid w:val="004C4A57"/>
    <w:rsid w:val="004D13D0"/>
    <w:rsid w:val="004E2920"/>
    <w:rsid w:val="004F678E"/>
    <w:rsid w:val="004F6D02"/>
    <w:rsid w:val="00504F32"/>
    <w:rsid w:val="00506713"/>
    <w:rsid w:val="0051772F"/>
    <w:rsid w:val="005318CD"/>
    <w:rsid w:val="00534D58"/>
    <w:rsid w:val="005423BD"/>
    <w:rsid w:val="00546F70"/>
    <w:rsid w:val="0055383D"/>
    <w:rsid w:val="00554D1B"/>
    <w:rsid w:val="00563F7F"/>
    <w:rsid w:val="005650F2"/>
    <w:rsid w:val="005728A9"/>
    <w:rsid w:val="00580122"/>
    <w:rsid w:val="00582E86"/>
    <w:rsid w:val="00583AC0"/>
    <w:rsid w:val="00591EAB"/>
    <w:rsid w:val="00594BB7"/>
    <w:rsid w:val="005A277F"/>
    <w:rsid w:val="005A5D67"/>
    <w:rsid w:val="005A7406"/>
    <w:rsid w:val="005B4289"/>
    <w:rsid w:val="005B63C7"/>
    <w:rsid w:val="005B6654"/>
    <w:rsid w:val="005B773B"/>
    <w:rsid w:val="005C0AD3"/>
    <w:rsid w:val="005D47D5"/>
    <w:rsid w:val="005E38B2"/>
    <w:rsid w:val="005E72BF"/>
    <w:rsid w:val="006011E2"/>
    <w:rsid w:val="00611B23"/>
    <w:rsid w:val="00612E26"/>
    <w:rsid w:val="00615F06"/>
    <w:rsid w:val="006326CA"/>
    <w:rsid w:val="00640225"/>
    <w:rsid w:val="00660EB5"/>
    <w:rsid w:val="006614DE"/>
    <w:rsid w:val="0066189C"/>
    <w:rsid w:val="00674ADC"/>
    <w:rsid w:val="006822B2"/>
    <w:rsid w:val="00687E57"/>
    <w:rsid w:val="006B61AF"/>
    <w:rsid w:val="006C5D7C"/>
    <w:rsid w:val="006E6CDA"/>
    <w:rsid w:val="006F0D5C"/>
    <w:rsid w:val="007103DD"/>
    <w:rsid w:val="007108C2"/>
    <w:rsid w:val="00712686"/>
    <w:rsid w:val="0071309A"/>
    <w:rsid w:val="007130E1"/>
    <w:rsid w:val="00713190"/>
    <w:rsid w:val="00714121"/>
    <w:rsid w:val="00714C6F"/>
    <w:rsid w:val="00720481"/>
    <w:rsid w:val="00721794"/>
    <w:rsid w:val="0072675F"/>
    <w:rsid w:val="0074155E"/>
    <w:rsid w:val="007509AE"/>
    <w:rsid w:val="00754AE6"/>
    <w:rsid w:val="00756C4A"/>
    <w:rsid w:val="00761645"/>
    <w:rsid w:val="007870F3"/>
    <w:rsid w:val="007A168E"/>
    <w:rsid w:val="007A2BFA"/>
    <w:rsid w:val="007A70E8"/>
    <w:rsid w:val="007B4223"/>
    <w:rsid w:val="007C26FB"/>
    <w:rsid w:val="007C2D22"/>
    <w:rsid w:val="007C455A"/>
    <w:rsid w:val="007D511F"/>
    <w:rsid w:val="007D5AEE"/>
    <w:rsid w:val="007E5311"/>
    <w:rsid w:val="0080702F"/>
    <w:rsid w:val="00810814"/>
    <w:rsid w:val="00817A1E"/>
    <w:rsid w:val="00824607"/>
    <w:rsid w:val="00824F3A"/>
    <w:rsid w:val="00826AFF"/>
    <w:rsid w:val="00832E6E"/>
    <w:rsid w:val="00832F48"/>
    <w:rsid w:val="00844C16"/>
    <w:rsid w:val="0084686F"/>
    <w:rsid w:val="00874B47"/>
    <w:rsid w:val="00882600"/>
    <w:rsid w:val="008D4120"/>
    <w:rsid w:val="008E1B68"/>
    <w:rsid w:val="008E459E"/>
    <w:rsid w:val="008E5EB3"/>
    <w:rsid w:val="008F538E"/>
    <w:rsid w:val="0090111E"/>
    <w:rsid w:val="00901C00"/>
    <w:rsid w:val="00904832"/>
    <w:rsid w:val="00906172"/>
    <w:rsid w:val="009215B8"/>
    <w:rsid w:val="00922EC2"/>
    <w:rsid w:val="00927863"/>
    <w:rsid w:val="00935580"/>
    <w:rsid w:val="00941926"/>
    <w:rsid w:val="00942C17"/>
    <w:rsid w:val="0094404F"/>
    <w:rsid w:val="00947FCB"/>
    <w:rsid w:val="00951AC3"/>
    <w:rsid w:val="00952D04"/>
    <w:rsid w:val="00953AD0"/>
    <w:rsid w:val="00953D8D"/>
    <w:rsid w:val="00955DC2"/>
    <w:rsid w:val="00976351"/>
    <w:rsid w:val="0099490B"/>
    <w:rsid w:val="009A0D9E"/>
    <w:rsid w:val="009A164D"/>
    <w:rsid w:val="009B1565"/>
    <w:rsid w:val="009B409A"/>
    <w:rsid w:val="009E2299"/>
    <w:rsid w:val="009F6EBF"/>
    <w:rsid w:val="00A03370"/>
    <w:rsid w:val="00A05438"/>
    <w:rsid w:val="00A06994"/>
    <w:rsid w:val="00A152B1"/>
    <w:rsid w:val="00A17D77"/>
    <w:rsid w:val="00A22F81"/>
    <w:rsid w:val="00A2629E"/>
    <w:rsid w:val="00A406C3"/>
    <w:rsid w:val="00A474D6"/>
    <w:rsid w:val="00A52823"/>
    <w:rsid w:val="00A54E28"/>
    <w:rsid w:val="00A6012D"/>
    <w:rsid w:val="00A63297"/>
    <w:rsid w:val="00A638F4"/>
    <w:rsid w:val="00A63A93"/>
    <w:rsid w:val="00A715BE"/>
    <w:rsid w:val="00A94802"/>
    <w:rsid w:val="00A96C1B"/>
    <w:rsid w:val="00A96E19"/>
    <w:rsid w:val="00AA130A"/>
    <w:rsid w:val="00AB2938"/>
    <w:rsid w:val="00AB76CC"/>
    <w:rsid w:val="00AC1D50"/>
    <w:rsid w:val="00AE2B1F"/>
    <w:rsid w:val="00AE7BBB"/>
    <w:rsid w:val="00AF1EDB"/>
    <w:rsid w:val="00AF41B2"/>
    <w:rsid w:val="00B15081"/>
    <w:rsid w:val="00B17970"/>
    <w:rsid w:val="00B35E60"/>
    <w:rsid w:val="00B4717D"/>
    <w:rsid w:val="00B5363B"/>
    <w:rsid w:val="00B56354"/>
    <w:rsid w:val="00B663C7"/>
    <w:rsid w:val="00B87E35"/>
    <w:rsid w:val="00B92684"/>
    <w:rsid w:val="00B935E3"/>
    <w:rsid w:val="00BA0B86"/>
    <w:rsid w:val="00BA19A5"/>
    <w:rsid w:val="00BB2083"/>
    <w:rsid w:val="00BB20DE"/>
    <w:rsid w:val="00BD536E"/>
    <w:rsid w:val="00BE01BE"/>
    <w:rsid w:val="00BE4D48"/>
    <w:rsid w:val="00BE7206"/>
    <w:rsid w:val="00BF1490"/>
    <w:rsid w:val="00BF34D2"/>
    <w:rsid w:val="00BF4562"/>
    <w:rsid w:val="00BF64DD"/>
    <w:rsid w:val="00C04564"/>
    <w:rsid w:val="00C049BA"/>
    <w:rsid w:val="00C51D8B"/>
    <w:rsid w:val="00C51F06"/>
    <w:rsid w:val="00C56C3A"/>
    <w:rsid w:val="00C66D67"/>
    <w:rsid w:val="00C709C1"/>
    <w:rsid w:val="00C8493E"/>
    <w:rsid w:val="00C8761D"/>
    <w:rsid w:val="00C90CD3"/>
    <w:rsid w:val="00CA1D1E"/>
    <w:rsid w:val="00CB614C"/>
    <w:rsid w:val="00CB63D5"/>
    <w:rsid w:val="00CB7BEF"/>
    <w:rsid w:val="00CC0DF0"/>
    <w:rsid w:val="00CD23CE"/>
    <w:rsid w:val="00CD5773"/>
    <w:rsid w:val="00CE366F"/>
    <w:rsid w:val="00CE507E"/>
    <w:rsid w:val="00CF0E61"/>
    <w:rsid w:val="00CF1908"/>
    <w:rsid w:val="00CF2F28"/>
    <w:rsid w:val="00CF49D1"/>
    <w:rsid w:val="00CF4AA2"/>
    <w:rsid w:val="00D053D2"/>
    <w:rsid w:val="00D11160"/>
    <w:rsid w:val="00D3073A"/>
    <w:rsid w:val="00D32A00"/>
    <w:rsid w:val="00D33511"/>
    <w:rsid w:val="00D4210E"/>
    <w:rsid w:val="00D46506"/>
    <w:rsid w:val="00D5562F"/>
    <w:rsid w:val="00D619D4"/>
    <w:rsid w:val="00D71F58"/>
    <w:rsid w:val="00D722DB"/>
    <w:rsid w:val="00D8669B"/>
    <w:rsid w:val="00D9049B"/>
    <w:rsid w:val="00D92090"/>
    <w:rsid w:val="00D93D0E"/>
    <w:rsid w:val="00D94EC0"/>
    <w:rsid w:val="00D96E2B"/>
    <w:rsid w:val="00DA2F4E"/>
    <w:rsid w:val="00DA388F"/>
    <w:rsid w:val="00DA73E4"/>
    <w:rsid w:val="00DC4F3E"/>
    <w:rsid w:val="00DD59DB"/>
    <w:rsid w:val="00DD61E0"/>
    <w:rsid w:val="00E06D3E"/>
    <w:rsid w:val="00E10BF1"/>
    <w:rsid w:val="00E22F70"/>
    <w:rsid w:val="00E300FD"/>
    <w:rsid w:val="00E61531"/>
    <w:rsid w:val="00E643D4"/>
    <w:rsid w:val="00E65956"/>
    <w:rsid w:val="00E67084"/>
    <w:rsid w:val="00E7227F"/>
    <w:rsid w:val="00E84EA0"/>
    <w:rsid w:val="00E92BD5"/>
    <w:rsid w:val="00E97436"/>
    <w:rsid w:val="00EA3530"/>
    <w:rsid w:val="00EA5FE6"/>
    <w:rsid w:val="00EB0A7E"/>
    <w:rsid w:val="00EB0CAE"/>
    <w:rsid w:val="00EC6392"/>
    <w:rsid w:val="00EC66B3"/>
    <w:rsid w:val="00ED5418"/>
    <w:rsid w:val="00ED762E"/>
    <w:rsid w:val="00EE4756"/>
    <w:rsid w:val="00F03143"/>
    <w:rsid w:val="00F12921"/>
    <w:rsid w:val="00F135A1"/>
    <w:rsid w:val="00F155D0"/>
    <w:rsid w:val="00F17DB8"/>
    <w:rsid w:val="00F21B26"/>
    <w:rsid w:val="00F22846"/>
    <w:rsid w:val="00F22BB7"/>
    <w:rsid w:val="00F230BB"/>
    <w:rsid w:val="00F27D78"/>
    <w:rsid w:val="00F31A77"/>
    <w:rsid w:val="00F343BA"/>
    <w:rsid w:val="00F3738B"/>
    <w:rsid w:val="00F54B60"/>
    <w:rsid w:val="00F56173"/>
    <w:rsid w:val="00F6172F"/>
    <w:rsid w:val="00F67D7B"/>
    <w:rsid w:val="00F7766D"/>
    <w:rsid w:val="00F825ED"/>
    <w:rsid w:val="00F84770"/>
    <w:rsid w:val="00F84EEF"/>
    <w:rsid w:val="00F85C19"/>
    <w:rsid w:val="00F921E1"/>
    <w:rsid w:val="00FA4988"/>
    <w:rsid w:val="00FA4FBF"/>
    <w:rsid w:val="00FB1A40"/>
    <w:rsid w:val="00FC750C"/>
    <w:rsid w:val="00FE3173"/>
    <w:rsid w:val="00FE77C2"/>
    <w:rsid w:val="00FF4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A0F6B4"/>
  <w15:chartTrackingRefBased/>
  <w15:docId w15:val="{53789038-98BD-493F-AF82-E77441C3D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0AD3"/>
  </w:style>
  <w:style w:type="paragraph" w:styleId="Heading1">
    <w:name w:val="heading 1"/>
    <w:basedOn w:val="Normal"/>
    <w:next w:val="Normal"/>
    <w:link w:val="Heading1Char"/>
    <w:qFormat/>
    <w:rsid w:val="00DD59DB"/>
    <w:pPr>
      <w:keepNext/>
      <w:tabs>
        <w:tab w:val="left" w:pos="-720"/>
      </w:tabs>
      <w:suppressAutoHyphens/>
      <w:overflowPunct w:val="0"/>
      <w:autoSpaceDE w:val="0"/>
      <w:autoSpaceDN w:val="0"/>
      <w:adjustRightInd w:val="0"/>
      <w:spacing w:before="90"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b/>
      <w:spacing w:val="-3"/>
      <w:kern w:val="20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71F8"/>
    <w:pPr>
      <w:spacing w:after="0" w:line="240" w:lineRule="auto"/>
    </w:pPr>
    <w:rPr>
      <w:rFonts w:ascii="Arial" w:eastAsia="Times New Roman" w:hAnsi="Arial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D619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619D4"/>
  </w:style>
  <w:style w:type="paragraph" w:styleId="Footer">
    <w:name w:val="footer"/>
    <w:basedOn w:val="Normal"/>
    <w:link w:val="FooterChar"/>
    <w:uiPriority w:val="99"/>
    <w:unhideWhenUsed/>
    <w:rsid w:val="00D619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19D4"/>
  </w:style>
  <w:style w:type="character" w:customStyle="1" w:styleId="Heading1Char">
    <w:name w:val="Heading 1 Char"/>
    <w:basedOn w:val="DefaultParagraphFont"/>
    <w:link w:val="Heading1"/>
    <w:rsid w:val="00DD59DB"/>
    <w:rPr>
      <w:rFonts w:ascii="Times New Roman" w:eastAsia="Times New Roman" w:hAnsi="Times New Roman" w:cs="Times New Roman"/>
      <w:b/>
      <w:spacing w:val="-3"/>
      <w:kern w:val="20"/>
      <w:sz w:val="24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B70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708A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708A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0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08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F6D02"/>
    <w:pPr>
      <w:spacing w:after="200" w:line="276" w:lineRule="auto"/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F6D0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6D0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6D02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762E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76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49066-BF27-463F-A15C-05342F83439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68e4d25-0348-48e6-8393-66abd22f5816}" enabled="1" method="Privileged" siteId="{f0a8342b-98b2-48a6-94a5-c049d56429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698</Words>
  <Characters>4681</Characters>
  <Application>Microsoft Office Word</Application>
  <DocSecurity>0</DocSecurity>
  <Lines>123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Mcloughlin1</dc:creator>
  <cp:keywords/>
  <dc:description/>
  <cp:lastModifiedBy>Mark Smith</cp:lastModifiedBy>
  <cp:revision>3</cp:revision>
  <cp:lastPrinted>2022-10-20T14:25:00Z</cp:lastPrinted>
  <dcterms:created xsi:type="dcterms:W3CDTF">2025-09-29T11:20:00Z</dcterms:created>
  <dcterms:modified xsi:type="dcterms:W3CDTF">2025-10-08T10:47:00Z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ae17a9-d9ce-4a06-81a7-d7b71469b5df_Enabled">
    <vt:lpwstr>True</vt:lpwstr>
  </property>
  <property fmtid="{D5CDD505-2E9C-101B-9397-08002B2CF9AE}" pid="3" name="MSIP_Label_63ae17a9-d9ce-4a06-81a7-d7b71469b5df_SiteId">
    <vt:lpwstr>f0a8342b-98b2-48a6-94a5-c049d5642989</vt:lpwstr>
  </property>
  <property fmtid="{D5CDD505-2E9C-101B-9397-08002B2CF9AE}" pid="4" name="MSIP_Label_63ae17a9-d9ce-4a06-81a7-d7b71469b5df_SetDate">
    <vt:lpwstr>2024-07-16T08:35:04Z</vt:lpwstr>
  </property>
  <property fmtid="{D5CDD505-2E9C-101B-9397-08002B2CF9AE}" pid="5" name="MSIP_Label_63ae17a9-d9ce-4a06-81a7-d7b71469b5df_Name">
    <vt:lpwstr>Internal (Moderate)</vt:lpwstr>
  </property>
  <property fmtid="{D5CDD505-2E9C-101B-9397-08002B2CF9AE}" pid="6" name="MSIP_Label_63ae17a9-d9ce-4a06-81a7-d7b71469b5df_ActionId">
    <vt:lpwstr>eb119dfd-9fdb-4918-a82d-d741186db7a6</vt:lpwstr>
  </property>
  <property fmtid="{D5CDD505-2E9C-101B-9397-08002B2CF9AE}" pid="7" name="MSIP_Label_63ae17a9-d9ce-4a06-81a7-d7b71469b5df_Removed">
    <vt:lpwstr>False</vt:lpwstr>
  </property>
  <property fmtid="{D5CDD505-2E9C-101B-9397-08002B2CF9AE}" pid="8" name="MSIP_Label_63ae17a9-d9ce-4a06-81a7-d7b71469b5df_Extended_MSFT_Method">
    <vt:lpwstr>Standard</vt:lpwstr>
  </property>
  <property fmtid="{D5CDD505-2E9C-101B-9397-08002B2CF9AE}" pid="9" name="Sensitivity">
    <vt:lpwstr>Internal (Moderate)</vt:lpwstr>
  </property>
</Properties>
</file>